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C30DD" w14:textId="4D2BE519" w:rsidR="009F47E2" w:rsidRPr="00CD500F" w:rsidRDefault="00E90F53" w:rsidP="001D2D4F">
      <w:pPr>
        <w:jc w:val="both"/>
        <w:rPr>
          <w:rFonts w:ascii="Calibri" w:hAnsi="Calibri" w:cs="Calibri"/>
          <w:color w:val="000000" w:themeColor="text1"/>
          <w:sz w:val="23"/>
          <w:szCs w:val="23"/>
        </w:rPr>
      </w:pPr>
      <w:r w:rsidRPr="00CD500F">
        <w:rPr>
          <w:rFonts w:ascii="Calibri" w:hAnsi="Calibri" w:cs="Calibri"/>
          <w:b/>
          <w:bCs/>
          <w:noProof/>
          <w:color w:val="000000" w:themeColor="text1"/>
          <w:sz w:val="23"/>
          <w:szCs w:val="23"/>
          <w:u w:val="single"/>
          <w:lang w:val="en-US"/>
        </w:rPr>
        <mc:AlternateContent>
          <mc:Choice Requires="wps">
            <w:drawing>
              <wp:anchor distT="45720" distB="45720" distL="114300" distR="114300" simplePos="0" relativeHeight="251658752" behindDoc="0" locked="0" layoutInCell="1" allowOverlap="1" wp14:anchorId="7ABA2D12" wp14:editId="6DA86214">
                <wp:simplePos x="0" y="0"/>
                <wp:positionH relativeFrom="column">
                  <wp:posOffset>-720090</wp:posOffset>
                </wp:positionH>
                <wp:positionV relativeFrom="paragraph">
                  <wp:posOffset>2543810</wp:posOffset>
                </wp:positionV>
                <wp:extent cx="7548245" cy="669290"/>
                <wp:effectExtent l="0" t="0" r="14605"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245" cy="669290"/>
                        </a:xfrm>
                        <a:prstGeom prst="rect">
                          <a:avLst/>
                        </a:prstGeom>
                        <a:solidFill>
                          <a:srgbClr val="A7636D"/>
                        </a:solidFill>
                        <a:ln w="9525">
                          <a:solidFill>
                            <a:srgbClr val="000000"/>
                          </a:solidFill>
                          <a:miter lim="800000"/>
                          <a:headEnd/>
                          <a:tailEnd/>
                        </a:ln>
                      </wps:spPr>
                      <wps:txbx>
                        <w:txbxContent>
                          <w:p w14:paraId="6A51D5BF" w14:textId="5A91C160" w:rsidR="00C759C7" w:rsidRPr="00060226" w:rsidRDefault="00C759C7" w:rsidP="001558FA">
                            <w:pPr>
                              <w:spacing w:line="240" w:lineRule="auto"/>
                              <w:jc w:val="center"/>
                              <w:rPr>
                                <w:rFonts w:ascii="Verdana Pro Black" w:hAnsi="Verdana Pro Black" w:cs="Arial"/>
                                <w:b/>
                                <w:bCs/>
                                <w:sz w:val="32"/>
                                <w:szCs w:val="32"/>
                              </w:rPr>
                            </w:pPr>
                            <w:r w:rsidRPr="00060226">
                              <w:rPr>
                                <w:rFonts w:ascii="Verdana Pro Black" w:hAnsi="Verdana Pro Black" w:cs="Arial"/>
                                <w:b/>
                                <w:bCs/>
                                <w:sz w:val="32"/>
                                <w:szCs w:val="32"/>
                              </w:rPr>
                              <w:t xml:space="preserve">#HardwickeBrew </w:t>
                            </w:r>
                            <w:r w:rsidRPr="00060226">
                              <w:rPr>
                                <w:rFonts w:ascii="Verdana Pro Black" w:hAnsi="Verdana Pro Black" w:cs="Arial"/>
                                <w:b/>
                                <w:bCs/>
                                <w:sz w:val="32"/>
                                <w:szCs w:val="32"/>
                              </w:rPr>
                              <w:br/>
                              <w:t>Your Takeaway Cup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BA2D12" id="_x0000_t202" coordsize="21600,21600" o:spt="202" path="m,l,21600r21600,l21600,xe">
                <v:stroke joinstyle="miter"/>
                <v:path gradientshapeok="t" o:connecttype="rect"/>
              </v:shapetype>
              <v:shape id="Text Box 2" o:spid="_x0000_s1026" type="#_x0000_t202" style="position:absolute;left:0;text-align:left;margin-left:-56.7pt;margin-top:200.3pt;width:594.35pt;height:52.7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" fillcolor="#a7636d">
                <v:textbox style="mso-fit-shape-to-text:t">
                  <w:txbxContent>
                    <w:p w14:paraId="6A51D5BF" w14:textId="5A91C160" w:rsidR="00C759C7" w:rsidRPr="00060226" w:rsidRDefault="00C759C7" w:rsidP="001558FA">
                      <w:pPr>
                        <w:spacing w:line="240" w:lineRule="auto"/>
                        <w:jc w:val="center"/>
                        <w:rPr>
                          <w:rFonts w:ascii="Verdana Pro Black" w:hAnsi="Verdana Pro Black" w:cs="Arial"/>
                          <w:b/>
                          <w:bCs/>
                          <w:sz w:val="32"/>
                          <w:szCs w:val="32"/>
                        </w:rPr>
                      </w:pPr>
                      <w:r w:rsidRPr="00060226">
                        <w:rPr>
                          <w:rFonts w:ascii="Verdana Pro Black" w:hAnsi="Verdana Pro Black" w:cs="Arial"/>
                          <w:b/>
                          <w:bCs/>
                          <w:sz w:val="32"/>
                          <w:szCs w:val="32"/>
                        </w:rPr>
                        <w:t xml:space="preserve">#HardwickeBrew </w:t>
                      </w:r>
                      <w:r w:rsidRPr="00060226">
                        <w:rPr>
                          <w:rFonts w:ascii="Verdana Pro Black" w:hAnsi="Verdana Pro Black" w:cs="Arial"/>
                          <w:b/>
                          <w:bCs/>
                          <w:sz w:val="32"/>
                          <w:szCs w:val="32"/>
                        </w:rPr>
                        <w:br/>
                        <w:t>Your Takeaway Cup</w:t>
                      </w:r>
                    </w:p>
                  </w:txbxContent>
                </v:textbox>
                <w10:wrap type="square"/>
              </v:shape>
            </w:pict>
          </mc:Fallback>
        </mc:AlternateContent>
      </w:r>
      <w:r w:rsidR="009E4A0B" w:rsidRPr="00CD500F">
        <w:rPr>
          <w:rFonts w:ascii="Calibri" w:hAnsi="Calibri" w:cs="Calibri"/>
          <w:b/>
          <w:bCs/>
          <w:noProof/>
          <w:color w:val="000000" w:themeColor="text1"/>
          <w:sz w:val="23"/>
          <w:szCs w:val="23"/>
          <w:lang w:val="en-US"/>
        </w:rPr>
        <w:drawing>
          <wp:inline distT="0" distB="0" distL="0" distR="0" wp14:anchorId="44F8B0C6" wp14:editId="73368477">
            <wp:extent cx="1918800" cy="2199600"/>
            <wp:effectExtent l="0" t="0" r="571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6316" b="9941"/>
                    <a:stretch/>
                  </pic:blipFill>
                  <pic:spPr bwMode="auto">
                    <a:xfrm>
                      <a:off x="0" y="0"/>
                      <a:ext cx="1918800" cy="21996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3A677A7" w14:textId="05F61D2C" w:rsidR="00BA1DEA" w:rsidRPr="00CD500F" w:rsidRDefault="009F47E2" w:rsidP="001D2D4F">
      <w:pPr>
        <w:spacing w:line="240" w:lineRule="auto"/>
        <w:jc w:val="both"/>
        <w:rPr>
          <w:rFonts w:ascii="Calibri" w:hAnsi="Calibri" w:cs="Calibri"/>
          <w:b/>
          <w:bCs/>
          <w:noProof/>
          <w:color w:val="000000" w:themeColor="text1"/>
          <w:sz w:val="23"/>
          <w:szCs w:val="23"/>
          <w:u w:val="single"/>
        </w:rPr>
      </w:pPr>
      <w:r w:rsidRPr="00CD500F">
        <w:rPr>
          <w:rFonts w:ascii="Calibri" w:hAnsi="Calibri" w:cs="Calibri"/>
          <w:b/>
          <w:bCs/>
          <w:noProof/>
          <w:color w:val="000000" w:themeColor="text1"/>
          <w:sz w:val="23"/>
          <w:szCs w:val="23"/>
          <w:u w:val="single"/>
        </w:rPr>
        <w:t xml:space="preserve"> </w:t>
      </w:r>
    </w:p>
    <w:p w14:paraId="6548FD89" w14:textId="526E7B6E" w:rsidR="0053320F" w:rsidRPr="00CD500F" w:rsidRDefault="0053320F" w:rsidP="001D2D4F">
      <w:pPr>
        <w:spacing w:after="0" w:line="240" w:lineRule="auto"/>
        <w:jc w:val="center"/>
        <w:rPr>
          <w:rFonts w:ascii="Calibri" w:hAnsi="Calibri" w:cs="Calibri"/>
          <w:i/>
          <w:iCs/>
          <w:color w:val="000000" w:themeColor="text1"/>
          <w:sz w:val="23"/>
          <w:szCs w:val="23"/>
        </w:rPr>
      </w:pPr>
      <w:r w:rsidRPr="00CD500F">
        <w:rPr>
          <w:rFonts w:ascii="Calibri" w:hAnsi="Calibri" w:cs="Calibri"/>
          <w:i/>
          <w:iCs/>
          <w:color w:val="000000" w:themeColor="text1"/>
          <w:sz w:val="23"/>
          <w:szCs w:val="23"/>
        </w:rPr>
        <w:t xml:space="preserve">These notes follow the #HardwickeBrew given by Hardwicke’s Clinical Negligence and Personal Injury Team on </w:t>
      </w:r>
      <w:r w:rsidR="00023F1D" w:rsidRPr="00CD500F">
        <w:rPr>
          <w:rFonts w:ascii="Calibri" w:hAnsi="Calibri" w:cs="Calibri"/>
          <w:i/>
          <w:iCs/>
          <w:color w:val="000000" w:themeColor="text1"/>
          <w:sz w:val="23"/>
          <w:szCs w:val="23"/>
        </w:rPr>
        <w:t>2</w:t>
      </w:r>
      <w:r w:rsidR="00FD7E83" w:rsidRPr="00CD500F">
        <w:rPr>
          <w:rFonts w:ascii="Calibri" w:hAnsi="Calibri" w:cs="Calibri"/>
          <w:i/>
          <w:iCs/>
          <w:color w:val="000000" w:themeColor="text1"/>
          <w:sz w:val="23"/>
          <w:szCs w:val="23"/>
        </w:rPr>
        <w:t>8</w:t>
      </w:r>
      <w:r w:rsidR="00023F1D" w:rsidRPr="00CD500F">
        <w:rPr>
          <w:rFonts w:ascii="Calibri" w:hAnsi="Calibri" w:cs="Calibri"/>
          <w:i/>
          <w:iCs/>
          <w:color w:val="000000" w:themeColor="text1"/>
          <w:sz w:val="23"/>
          <w:szCs w:val="23"/>
        </w:rPr>
        <w:t xml:space="preserve"> July</w:t>
      </w:r>
      <w:r w:rsidRPr="00CD500F">
        <w:rPr>
          <w:rFonts w:ascii="Calibri" w:hAnsi="Calibri" w:cs="Calibri"/>
          <w:i/>
          <w:iCs/>
          <w:color w:val="000000" w:themeColor="text1"/>
          <w:sz w:val="23"/>
          <w:szCs w:val="23"/>
        </w:rPr>
        <w:t xml:space="preserve"> 2020 which looked at </w:t>
      </w:r>
      <w:r w:rsidR="00FD7E83" w:rsidRPr="00CD500F">
        <w:rPr>
          <w:rFonts w:ascii="Calibri" w:hAnsi="Calibri" w:cs="Calibri"/>
          <w:i/>
          <w:iCs/>
          <w:color w:val="000000" w:themeColor="text1"/>
          <w:sz w:val="23"/>
          <w:szCs w:val="23"/>
        </w:rPr>
        <w:t>the changes and updates occasioned by Ogden 8</w:t>
      </w:r>
      <w:r w:rsidR="00023F1D" w:rsidRPr="00CD500F">
        <w:rPr>
          <w:rFonts w:ascii="Calibri" w:hAnsi="Calibri" w:cs="Calibri"/>
          <w:i/>
          <w:iCs/>
          <w:color w:val="000000" w:themeColor="text1"/>
          <w:sz w:val="23"/>
          <w:szCs w:val="23"/>
        </w:rPr>
        <w:t>.</w:t>
      </w:r>
    </w:p>
    <w:p w14:paraId="7D00341D" w14:textId="45A5BE8B" w:rsidR="00756396" w:rsidRPr="00CD500F" w:rsidRDefault="00756396" w:rsidP="001D2D4F">
      <w:pPr>
        <w:jc w:val="both"/>
        <w:rPr>
          <w:rFonts w:ascii="Calibri" w:hAnsi="Calibri" w:cs="Calibri"/>
          <w:sz w:val="23"/>
          <w:szCs w:val="23"/>
        </w:rPr>
      </w:pPr>
    </w:p>
    <w:p w14:paraId="028BB4F0" w14:textId="3E536833" w:rsidR="00FD7E83" w:rsidRPr="00CD500F" w:rsidRDefault="00FD7E83" w:rsidP="001D2D4F">
      <w:pPr>
        <w:jc w:val="both"/>
        <w:rPr>
          <w:rFonts w:ascii="Calibri" w:hAnsi="Calibri" w:cs="Calibri"/>
          <w:b/>
          <w:bCs/>
          <w:sz w:val="23"/>
          <w:szCs w:val="23"/>
          <w:u w:val="single"/>
        </w:rPr>
      </w:pPr>
      <w:r w:rsidRPr="00CD500F">
        <w:rPr>
          <w:rFonts w:ascii="Calibri" w:hAnsi="Calibri" w:cs="Calibri"/>
          <w:b/>
          <w:bCs/>
          <w:sz w:val="23"/>
          <w:szCs w:val="23"/>
          <w:u w:val="single"/>
        </w:rPr>
        <w:t>Headline Points</w:t>
      </w:r>
    </w:p>
    <w:p w14:paraId="20D150C9" w14:textId="5F7DBC74" w:rsidR="00FD7E83" w:rsidRPr="00CD500F" w:rsidRDefault="00FD7E83" w:rsidP="002175EF">
      <w:pPr>
        <w:pStyle w:val="ListParagraph"/>
        <w:numPr>
          <w:ilvl w:val="0"/>
          <w:numId w:val="1"/>
        </w:numPr>
        <w:jc w:val="both"/>
        <w:rPr>
          <w:rFonts w:ascii="Calibri" w:hAnsi="Calibri" w:cs="Calibri"/>
          <w:sz w:val="23"/>
          <w:szCs w:val="23"/>
        </w:rPr>
      </w:pPr>
      <w:r w:rsidRPr="00CD500F">
        <w:rPr>
          <w:rFonts w:ascii="Calibri" w:hAnsi="Calibri" w:cs="Calibri"/>
          <w:sz w:val="23"/>
          <w:szCs w:val="23"/>
        </w:rPr>
        <w:t xml:space="preserve">Ogden 8 </w:t>
      </w:r>
      <w:r w:rsidR="00BD74A4" w:rsidRPr="00CD500F">
        <w:rPr>
          <w:rFonts w:ascii="Calibri" w:hAnsi="Calibri" w:cs="Calibri"/>
          <w:sz w:val="23"/>
          <w:szCs w:val="23"/>
        </w:rPr>
        <w:t xml:space="preserve">was </w:t>
      </w:r>
      <w:r w:rsidRPr="00CD500F">
        <w:rPr>
          <w:rFonts w:ascii="Calibri" w:hAnsi="Calibri" w:cs="Calibri"/>
          <w:sz w:val="23"/>
          <w:szCs w:val="23"/>
        </w:rPr>
        <w:t>published on 10 October 2020, 9 years after the publication of Ogden 7.</w:t>
      </w:r>
    </w:p>
    <w:p w14:paraId="651B8B30" w14:textId="77777777" w:rsidR="00FD7E83" w:rsidRPr="00CD500F" w:rsidRDefault="00FD7E83" w:rsidP="002175EF">
      <w:pPr>
        <w:pStyle w:val="ListParagraph"/>
        <w:numPr>
          <w:ilvl w:val="0"/>
          <w:numId w:val="1"/>
        </w:numPr>
        <w:jc w:val="both"/>
        <w:rPr>
          <w:rFonts w:ascii="Calibri" w:hAnsi="Calibri" w:cs="Calibri"/>
          <w:b/>
          <w:bCs/>
          <w:sz w:val="23"/>
          <w:szCs w:val="23"/>
        </w:rPr>
      </w:pPr>
      <w:r w:rsidRPr="00CD500F">
        <w:rPr>
          <w:rFonts w:ascii="Calibri" w:hAnsi="Calibri" w:cs="Calibri"/>
          <w:color w:val="000000" w:themeColor="text1"/>
          <w:sz w:val="23"/>
          <w:szCs w:val="23"/>
        </w:rPr>
        <w:t>The tables have been revised in the 8</w:t>
      </w:r>
      <w:r w:rsidRPr="00CD500F">
        <w:rPr>
          <w:rFonts w:ascii="Calibri" w:hAnsi="Calibri" w:cs="Calibri"/>
          <w:color w:val="000000" w:themeColor="text1"/>
          <w:sz w:val="23"/>
          <w:szCs w:val="23"/>
          <w:vertAlign w:val="superscript"/>
        </w:rPr>
        <w:t>th</w:t>
      </w:r>
      <w:r w:rsidRPr="00CD500F">
        <w:rPr>
          <w:rFonts w:ascii="Calibri" w:hAnsi="Calibri" w:cs="Calibri"/>
          <w:color w:val="000000" w:themeColor="text1"/>
          <w:sz w:val="23"/>
          <w:szCs w:val="23"/>
        </w:rPr>
        <w:t xml:space="preserve"> edition to use updated mortality assumptions. The multipliers in the 7</w:t>
      </w:r>
      <w:r w:rsidRPr="00CD500F">
        <w:rPr>
          <w:rFonts w:ascii="Calibri" w:hAnsi="Calibri" w:cs="Calibri"/>
          <w:color w:val="000000" w:themeColor="text1"/>
          <w:sz w:val="23"/>
          <w:szCs w:val="23"/>
          <w:vertAlign w:val="superscript"/>
        </w:rPr>
        <w:t>th</w:t>
      </w:r>
      <w:r w:rsidRPr="00CD500F">
        <w:rPr>
          <w:rFonts w:ascii="Calibri" w:hAnsi="Calibri" w:cs="Calibri"/>
          <w:color w:val="000000" w:themeColor="text1"/>
          <w:sz w:val="23"/>
          <w:szCs w:val="23"/>
        </w:rPr>
        <w:t xml:space="preserve"> edition were based on 2008 mortality projections. The 8</w:t>
      </w:r>
      <w:r w:rsidRPr="00CD500F">
        <w:rPr>
          <w:rFonts w:ascii="Calibri" w:hAnsi="Calibri" w:cs="Calibri"/>
          <w:color w:val="000000" w:themeColor="text1"/>
          <w:sz w:val="23"/>
          <w:szCs w:val="23"/>
          <w:vertAlign w:val="superscript"/>
        </w:rPr>
        <w:t>th</w:t>
      </w:r>
      <w:r w:rsidRPr="00CD500F">
        <w:rPr>
          <w:rFonts w:ascii="Calibri" w:hAnsi="Calibri" w:cs="Calibri"/>
          <w:color w:val="000000" w:themeColor="text1"/>
          <w:sz w:val="23"/>
          <w:szCs w:val="23"/>
        </w:rPr>
        <w:t xml:space="preserve"> edition is based on mortality rates from 2018 mortality projections.</w:t>
      </w:r>
    </w:p>
    <w:p w14:paraId="4ABBDBB6" w14:textId="6DFA5406" w:rsidR="00FD7E83" w:rsidRPr="00CD500F" w:rsidRDefault="00FD7E83" w:rsidP="002175EF">
      <w:pPr>
        <w:pStyle w:val="ListParagraph"/>
        <w:numPr>
          <w:ilvl w:val="0"/>
          <w:numId w:val="1"/>
        </w:numPr>
        <w:jc w:val="both"/>
        <w:rPr>
          <w:rFonts w:ascii="Calibri" w:hAnsi="Calibri" w:cs="Calibri"/>
          <w:b/>
          <w:bCs/>
          <w:sz w:val="23"/>
          <w:szCs w:val="23"/>
        </w:rPr>
      </w:pPr>
      <w:r w:rsidRPr="00CD500F">
        <w:rPr>
          <w:rFonts w:ascii="Calibri" w:hAnsi="Calibri" w:cs="Calibri"/>
          <w:color w:val="000000" w:themeColor="text1"/>
          <w:sz w:val="23"/>
          <w:szCs w:val="23"/>
        </w:rPr>
        <w:t>For younger male and female claimants</w:t>
      </w:r>
      <w:r w:rsidR="005A6C84">
        <w:rPr>
          <w:rFonts w:ascii="Calibri" w:hAnsi="Calibri" w:cs="Calibri"/>
          <w:color w:val="000000" w:themeColor="text1"/>
          <w:sz w:val="23"/>
          <w:szCs w:val="23"/>
        </w:rPr>
        <w:t xml:space="preserve"> life expectancy</w:t>
      </w:r>
      <w:r w:rsidRPr="00CD500F">
        <w:rPr>
          <w:rFonts w:ascii="Calibri" w:hAnsi="Calibri" w:cs="Calibri"/>
          <w:color w:val="000000" w:themeColor="text1"/>
          <w:sz w:val="23"/>
          <w:szCs w:val="23"/>
        </w:rPr>
        <w:t xml:space="preserve"> is 1 to 2 years respectively less in Ogden 8 than in Ogden 7 (1 to 2%). For older claimants, life expectancy could be as high as 8 to 9% less </w:t>
      </w:r>
      <w:r w:rsidR="00BD74A4" w:rsidRPr="00CD500F">
        <w:rPr>
          <w:rFonts w:ascii="Calibri" w:hAnsi="Calibri" w:cs="Calibri"/>
          <w:color w:val="000000" w:themeColor="text1"/>
          <w:sz w:val="23"/>
          <w:szCs w:val="23"/>
        </w:rPr>
        <w:t>i</w:t>
      </w:r>
      <w:r w:rsidRPr="00CD500F">
        <w:rPr>
          <w:rFonts w:ascii="Calibri" w:hAnsi="Calibri" w:cs="Calibri"/>
          <w:color w:val="000000" w:themeColor="text1"/>
          <w:sz w:val="23"/>
          <w:szCs w:val="23"/>
        </w:rPr>
        <w:t xml:space="preserve">n Ogden 8 than </w:t>
      </w:r>
      <w:r w:rsidR="00BD74A4" w:rsidRPr="00CD500F">
        <w:rPr>
          <w:rFonts w:ascii="Calibri" w:hAnsi="Calibri" w:cs="Calibri"/>
          <w:color w:val="000000" w:themeColor="text1"/>
          <w:sz w:val="23"/>
          <w:szCs w:val="23"/>
        </w:rPr>
        <w:t>i</w:t>
      </w:r>
      <w:r w:rsidRPr="00CD500F">
        <w:rPr>
          <w:rFonts w:ascii="Calibri" w:hAnsi="Calibri" w:cs="Calibri"/>
          <w:color w:val="000000" w:themeColor="text1"/>
          <w:sz w:val="23"/>
          <w:szCs w:val="23"/>
        </w:rPr>
        <w:t xml:space="preserve">n Ogden 7. </w:t>
      </w:r>
    </w:p>
    <w:p w14:paraId="2E120896" w14:textId="7A8D2A91" w:rsidR="00FD7E83" w:rsidRPr="00CD500F" w:rsidRDefault="00FD7E83" w:rsidP="002175EF">
      <w:pPr>
        <w:pStyle w:val="ListParagraph"/>
        <w:numPr>
          <w:ilvl w:val="0"/>
          <w:numId w:val="1"/>
        </w:numPr>
        <w:spacing w:after="0" w:line="240" w:lineRule="auto"/>
        <w:jc w:val="both"/>
        <w:rPr>
          <w:rFonts w:ascii="Calibri" w:eastAsia="Times New Roman" w:hAnsi="Calibri" w:cs="Calibri"/>
          <w:sz w:val="23"/>
          <w:szCs w:val="23"/>
          <w:lang w:eastAsia="en-GB"/>
        </w:rPr>
      </w:pPr>
      <w:r w:rsidRPr="00CD500F">
        <w:rPr>
          <w:rFonts w:ascii="Calibri" w:eastAsia="Times New Roman" w:hAnsi="Calibri" w:cs="Calibri"/>
          <w:sz w:val="23"/>
          <w:szCs w:val="23"/>
          <w:lang w:eastAsia="en-GB"/>
        </w:rPr>
        <w:t>Section A has been updated. The section on life expectancy has been expanded, and there is new guidance and new examples regarding the interpolation of multipliers and calculating split multipliers for variable losses.</w:t>
      </w:r>
    </w:p>
    <w:p w14:paraId="63D87DEC" w14:textId="78A4C879" w:rsidR="00FD7E83" w:rsidRPr="00CD500F" w:rsidRDefault="00BD74A4" w:rsidP="002175EF">
      <w:pPr>
        <w:pStyle w:val="ListParagraph"/>
        <w:numPr>
          <w:ilvl w:val="0"/>
          <w:numId w:val="1"/>
        </w:numPr>
        <w:jc w:val="both"/>
        <w:rPr>
          <w:rFonts w:ascii="Calibri" w:hAnsi="Calibri" w:cs="Calibri"/>
          <w:b/>
          <w:bCs/>
          <w:sz w:val="23"/>
          <w:szCs w:val="23"/>
        </w:rPr>
      </w:pPr>
      <w:r w:rsidRPr="00CD500F">
        <w:rPr>
          <w:rFonts w:ascii="Calibri" w:hAnsi="Calibri" w:cs="Calibri"/>
          <w:color w:val="000000" w:themeColor="text1"/>
          <w:sz w:val="23"/>
          <w:szCs w:val="23"/>
        </w:rPr>
        <w:t>There are n</w:t>
      </w:r>
      <w:r w:rsidR="00FD7E83" w:rsidRPr="00CD500F">
        <w:rPr>
          <w:rFonts w:ascii="Calibri" w:hAnsi="Calibri" w:cs="Calibri"/>
          <w:color w:val="000000" w:themeColor="text1"/>
          <w:sz w:val="23"/>
          <w:szCs w:val="23"/>
        </w:rPr>
        <w:t>ew tables for loss of earnings to ages 68 and 80 and loss of pension commencing at ages 68 and 80.</w:t>
      </w:r>
    </w:p>
    <w:p w14:paraId="48EC8DD0" w14:textId="23CA9816" w:rsidR="00FD7E83" w:rsidRPr="00CD500F" w:rsidRDefault="00BD74A4" w:rsidP="002175EF">
      <w:pPr>
        <w:pStyle w:val="ListParagraph"/>
        <w:numPr>
          <w:ilvl w:val="0"/>
          <w:numId w:val="1"/>
        </w:numPr>
        <w:jc w:val="both"/>
        <w:rPr>
          <w:rFonts w:ascii="Calibri" w:hAnsi="Calibri" w:cs="Calibri"/>
          <w:b/>
          <w:bCs/>
          <w:sz w:val="23"/>
          <w:szCs w:val="23"/>
        </w:rPr>
      </w:pPr>
      <w:r w:rsidRPr="00CD500F">
        <w:rPr>
          <w:rFonts w:ascii="Calibri" w:hAnsi="Calibri" w:cs="Calibri"/>
          <w:color w:val="000000" w:themeColor="text1"/>
          <w:sz w:val="23"/>
          <w:szCs w:val="23"/>
        </w:rPr>
        <w:t>There are n</w:t>
      </w:r>
      <w:r w:rsidR="00FD7E83" w:rsidRPr="00CD500F">
        <w:rPr>
          <w:rFonts w:ascii="Calibri" w:hAnsi="Calibri" w:cs="Calibri"/>
          <w:color w:val="000000" w:themeColor="text1"/>
          <w:sz w:val="23"/>
          <w:szCs w:val="23"/>
        </w:rPr>
        <w:t xml:space="preserve">ew “Additional Tables” at various discount rates. These tables allow for the calculation of multipliers from any age at trial to any future ages, up to 125. These are provided in Excel format on the Government Actuary’s Department website. </w:t>
      </w:r>
    </w:p>
    <w:p w14:paraId="7C2C5CB7" w14:textId="2555ED6A" w:rsidR="00FD7E83" w:rsidRPr="00CD500F" w:rsidRDefault="00151134" w:rsidP="001D2D4F">
      <w:pPr>
        <w:pStyle w:val="ListParagraph"/>
        <w:jc w:val="both"/>
        <w:rPr>
          <w:rFonts w:ascii="Calibri" w:hAnsi="Calibri" w:cs="Calibri"/>
          <w:b/>
          <w:bCs/>
          <w:sz w:val="23"/>
          <w:szCs w:val="23"/>
        </w:rPr>
      </w:pPr>
      <w:hyperlink r:id="rId12" w:history="1">
        <w:r w:rsidR="00FD7E83" w:rsidRPr="00CD500F">
          <w:rPr>
            <w:rStyle w:val="Hyperlink"/>
            <w:rFonts w:ascii="Calibri" w:hAnsi="Calibri" w:cs="Calibri"/>
            <w:sz w:val="23"/>
            <w:szCs w:val="23"/>
          </w:rPr>
          <w:t>https://www.gov.uk/government/publications/ogden-tables-actuarial-compensation-tables-for-injury-and-death</w:t>
        </w:r>
      </w:hyperlink>
    </w:p>
    <w:p w14:paraId="44A39D85" w14:textId="77777777" w:rsidR="00FD7E83" w:rsidRPr="00CD500F" w:rsidRDefault="00FD7E83" w:rsidP="002175EF">
      <w:pPr>
        <w:pStyle w:val="ListParagraph"/>
        <w:numPr>
          <w:ilvl w:val="0"/>
          <w:numId w:val="1"/>
        </w:numPr>
        <w:jc w:val="both"/>
        <w:rPr>
          <w:rFonts w:ascii="Calibri" w:hAnsi="Calibri" w:cs="Calibri"/>
          <w:b/>
          <w:bCs/>
          <w:sz w:val="23"/>
          <w:szCs w:val="23"/>
        </w:rPr>
      </w:pPr>
      <w:r w:rsidRPr="00CD500F">
        <w:rPr>
          <w:rFonts w:ascii="Calibri" w:hAnsi="Calibri" w:cs="Calibri"/>
          <w:color w:val="000000" w:themeColor="text1"/>
          <w:sz w:val="23"/>
          <w:szCs w:val="23"/>
        </w:rPr>
        <w:t xml:space="preserve">These tables help with accurate interpolation and calculation of split multipliers especially for retirement ages that are not contained in the main tables. </w:t>
      </w:r>
    </w:p>
    <w:p w14:paraId="57FD602B" w14:textId="53DEDDF8" w:rsidR="00FD7E83" w:rsidRPr="00CD500F" w:rsidRDefault="00FD7E83" w:rsidP="002175EF">
      <w:pPr>
        <w:pStyle w:val="ListParagraph"/>
        <w:numPr>
          <w:ilvl w:val="0"/>
          <w:numId w:val="1"/>
        </w:numPr>
        <w:jc w:val="both"/>
        <w:rPr>
          <w:rFonts w:ascii="Calibri" w:hAnsi="Calibri" w:cs="Calibri"/>
          <w:b/>
          <w:bCs/>
          <w:sz w:val="23"/>
          <w:szCs w:val="23"/>
        </w:rPr>
      </w:pPr>
      <w:r w:rsidRPr="00CD500F">
        <w:rPr>
          <w:rFonts w:ascii="Calibri" w:hAnsi="Calibri" w:cs="Calibri"/>
          <w:color w:val="000000" w:themeColor="text1"/>
          <w:sz w:val="23"/>
          <w:szCs w:val="23"/>
        </w:rPr>
        <w:t xml:space="preserve">The multipliers derived from the additional tables are more accurate and reliable than other previous methods of interpolation such as using the apportionment method. They should be treated as definitive. </w:t>
      </w:r>
    </w:p>
    <w:p w14:paraId="5821B41F" w14:textId="66ECC795" w:rsidR="00FD7E83" w:rsidRPr="00CD500F" w:rsidRDefault="00FD7E83" w:rsidP="001D2D4F">
      <w:pPr>
        <w:jc w:val="both"/>
        <w:rPr>
          <w:rFonts w:ascii="Calibri" w:hAnsi="Calibri" w:cs="Calibri"/>
          <w:b/>
          <w:bCs/>
          <w:color w:val="000000" w:themeColor="text1"/>
          <w:sz w:val="23"/>
          <w:szCs w:val="23"/>
          <w:u w:val="single"/>
        </w:rPr>
      </w:pPr>
      <w:r w:rsidRPr="00CD500F">
        <w:rPr>
          <w:rFonts w:ascii="Calibri" w:hAnsi="Calibri" w:cs="Calibri"/>
          <w:b/>
          <w:bCs/>
          <w:color w:val="000000" w:themeColor="text1"/>
          <w:sz w:val="23"/>
          <w:szCs w:val="23"/>
          <w:u w:val="single"/>
        </w:rPr>
        <w:lastRenderedPageBreak/>
        <w:t>The Disability Threshold for Contingency Discounts</w:t>
      </w:r>
    </w:p>
    <w:p w14:paraId="1C814B7C" w14:textId="5DC6F107" w:rsidR="00CD500F" w:rsidRDefault="00CD500F" w:rsidP="002175EF">
      <w:pPr>
        <w:pStyle w:val="ListParagraph"/>
        <w:numPr>
          <w:ilvl w:val="0"/>
          <w:numId w:val="4"/>
        </w:numPr>
        <w:jc w:val="both"/>
        <w:rPr>
          <w:rFonts w:ascii="Calibri" w:hAnsi="Calibri" w:cs="Calibri"/>
          <w:sz w:val="23"/>
          <w:szCs w:val="23"/>
        </w:rPr>
      </w:pPr>
      <w:r>
        <w:rPr>
          <w:rFonts w:ascii="Calibri" w:hAnsi="Calibri" w:cs="Calibri"/>
          <w:sz w:val="23"/>
          <w:szCs w:val="23"/>
        </w:rPr>
        <w:t xml:space="preserve">OT8 </w:t>
      </w:r>
      <w:r w:rsidRPr="00CD500F">
        <w:rPr>
          <w:rFonts w:ascii="Calibri" w:hAnsi="Calibri" w:cs="Calibri"/>
          <w:sz w:val="23"/>
          <w:szCs w:val="23"/>
        </w:rPr>
        <w:t>was due in 2012, but as result of the delay, we now have better data on what is disability and impairment.</w:t>
      </w:r>
    </w:p>
    <w:p w14:paraId="630C838C" w14:textId="77777777" w:rsidR="00CD500F" w:rsidRDefault="00CD500F" w:rsidP="002175EF">
      <w:pPr>
        <w:pStyle w:val="ListParagraph"/>
        <w:numPr>
          <w:ilvl w:val="0"/>
          <w:numId w:val="4"/>
        </w:numPr>
        <w:jc w:val="both"/>
        <w:rPr>
          <w:rFonts w:ascii="Calibri" w:hAnsi="Calibri" w:cs="Calibri"/>
          <w:sz w:val="23"/>
          <w:szCs w:val="23"/>
        </w:rPr>
      </w:pPr>
      <w:r w:rsidRPr="00CD500F">
        <w:rPr>
          <w:rFonts w:ascii="Calibri" w:hAnsi="Calibri" w:cs="Calibri"/>
          <w:sz w:val="23"/>
          <w:szCs w:val="23"/>
        </w:rPr>
        <w:t xml:space="preserve">Disability (or otherwise) remains at the heart of OT8. It is the single factor which makes the most substantial difference to the discount rate (and therefore final multiplier). </w:t>
      </w:r>
    </w:p>
    <w:p w14:paraId="77E9502E" w14:textId="06EDADC1" w:rsidR="00CD500F" w:rsidRDefault="00CD500F" w:rsidP="002175EF">
      <w:pPr>
        <w:pStyle w:val="ListParagraph"/>
        <w:numPr>
          <w:ilvl w:val="0"/>
          <w:numId w:val="4"/>
        </w:numPr>
        <w:jc w:val="both"/>
        <w:rPr>
          <w:rFonts w:ascii="Calibri" w:hAnsi="Calibri" w:cs="Calibri"/>
          <w:sz w:val="23"/>
          <w:szCs w:val="23"/>
        </w:rPr>
      </w:pPr>
      <w:r w:rsidRPr="00CD500F">
        <w:rPr>
          <w:rFonts w:ascii="Calibri" w:hAnsi="Calibri" w:cs="Calibri"/>
          <w:sz w:val="23"/>
          <w:szCs w:val="23"/>
        </w:rPr>
        <w:t>Disability is not a medical definition</w:t>
      </w:r>
      <w:r>
        <w:rPr>
          <w:rFonts w:ascii="Calibri" w:hAnsi="Calibri" w:cs="Calibri"/>
          <w:sz w:val="23"/>
          <w:szCs w:val="23"/>
        </w:rPr>
        <w:t xml:space="preserve">. </w:t>
      </w:r>
      <w:r w:rsidRPr="00CD500F">
        <w:rPr>
          <w:rFonts w:ascii="Calibri" w:hAnsi="Calibri" w:cs="Calibri"/>
          <w:sz w:val="23"/>
          <w:szCs w:val="23"/>
        </w:rPr>
        <w:t>Disability (as understood in the tables) is an entirely legal construct.</w:t>
      </w:r>
      <w:r>
        <w:rPr>
          <w:rFonts w:ascii="Calibri" w:hAnsi="Calibri" w:cs="Calibri"/>
          <w:sz w:val="23"/>
          <w:szCs w:val="23"/>
        </w:rPr>
        <w:t xml:space="preserve"> </w:t>
      </w:r>
      <w:r w:rsidRPr="00CD500F">
        <w:rPr>
          <w:rFonts w:ascii="Calibri" w:hAnsi="Calibri" w:cs="Calibri"/>
          <w:sz w:val="23"/>
          <w:szCs w:val="23"/>
        </w:rPr>
        <w:t xml:space="preserve">Notes to OT8 point out the Ogden disability definition follows that of the Disability Discrimination Act (DDA) 1995 and not the Equality Act 2010. </w:t>
      </w:r>
    </w:p>
    <w:p w14:paraId="0279D284" w14:textId="77777777" w:rsidR="00CD500F" w:rsidRDefault="00CD500F" w:rsidP="002175EF">
      <w:pPr>
        <w:pStyle w:val="ListParagraph"/>
        <w:numPr>
          <w:ilvl w:val="0"/>
          <w:numId w:val="4"/>
        </w:numPr>
        <w:jc w:val="both"/>
        <w:rPr>
          <w:rFonts w:ascii="Calibri" w:hAnsi="Calibri" w:cs="Calibri"/>
          <w:sz w:val="23"/>
          <w:szCs w:val="23"/>
        </w:rPr>
      </w:pPr>
      <w:r w:rsidRPr="00CD500F">
        <w:rPr>
          <w:rFonts w:ascii="Calibri" w:hAnsi="Calibri" w:cs="Calibri"/>
          <w:sz w:val="23"/>
          <w:szCs w:val="23"/>
        </w:rPr>
        <w:t>Is that important?</w:t>
      </w:r>
      <w:r w:rsidRPr="00CD500F">
        <w:rPr>
          <w:rFonts w:ascii="Calibri" w:hAnsi="Calibri" w:cs="Calibri"/>
          <w:b/>
          <w:bCs/>
          <w:sz w:val="23"/>
          <w:szCs w:val="23"/>
        </w:rPr>
        <w:t xml:space="preserve"> </w:t>
      </w:r>
      <w:r w:rsidRPr="00CD500F">
        <w:rPr>
          <w:rFonts w:ascii="Calibri" w:hAnsi="Calibri" w:cs="Calibri"/>
          <w:sz w:val="23"/>
          <w:szCs w:val="23"/>
        </w:rPr>
        <w:t xml:space="preserve">Potentially. </w:t>
      </w:r>
    </w:p>
    <w:p w14:paraId="2E10FA05" w14:textId="672F7211" w:rsidR="00CD500F" w:rsidRDefault="00CD500F" w:rsidP="002175EF">
      <w:pPr>
        <w:pStyle w:val="ListParagraph"/>
        <w:numPr>
          <w:ilvl w:val="0"/>
          <w:numId w:val="4"/>
        </w:numPr>
        <w:jc w:val="both"/>
        <w:rPr>
          <w:rFonts w:ascii="Calibri" w:hAnsi="Calibri" w:cs="Calibri"/>
          <w:sz w:val="23"/>
          <w:szCs w:val="23"/>
        </w:rPr>
      </w:pPr>
      <w:r w:rsidRPr="00CD500F">
        <w:rPr>
          <w:rFonts w:ascii="Calibri" w:hAnsi="Calibri" w:cs="Calibri"/>
          <w:sz w:val="23"/>
          <w:szCs w:val="23"/>
        </w:rPr>
        <w:t xml:space="preserve">The DDA - which first introduced the concept of discrimination on the basis of Disability, had to try to define it.  </w:t>
      </w:r>
    </w:p>
    <w:p w14:paraId="4ABC98F3" w14:textId="77D6318D" w:rsidR="00CD500F" w:rsidRDefault="00CD500F" w:rsidP="002175EF">
      <w:pPr>
        <w:pStyle w:val="ListParagraph"/>
        <w:numPr>
          <w:ilvl w:val="0"/>
          <w:numId w:val="4"/>
        </w:numPr>
        <w:jc w:val="both"/>
        <w:rPr>
          <w:rFonts w:ascii="Calibri" w:hAnsi="Calibri" w:cs="Calibri"/>
          <w:sz w:val="23"/>
          <w:szCs w:val="23"/>
        </w:rPr>
      </w:pPr>
      <w:r w:rsidRPr="00CD500F">
        <w:rPr>
          <w:rFonts w:ascii="Calibri" w:hAnsi="Calibri" w:cs="Calibri"/>
          <w:sz w:val="23"/>
          <w:szCs w:val="23"/>
        </w:rPr>
        <w:t xml:space="preserve">Those Notes contain all sort of quirks and features about what is (and isn’t) disability but which are rarely </w:t>
      </w:r>
      <w:r>
        <w:rPr>
          <w:rFonts w:ascii="Calibri" w:hAnsi="Calibri" w:cs="Calibri"/>
          <w:sz w:val="23"/>
          <w:szCs w:val="23"/>
        </w:rPr>
        <w:t>used</w:t>
      </w:r>
      <w:r w:rsidRPr="00CD500F">
        <w:rPr>
          <w:rFonts w:ascii="Calibri" w:hAnsi="Calibri" w:cs="Calibri"/>
          <w:sz w:val="23"/>
          <w:szCs w:val="23"/>
        </w:rPr>
        <w:t xml:space="preserve"> to assist judges in those cases where is it said that the claimant falls one side of the disability line or the other or Reduction Factor (‘RF’) variation.</w:t>
      </w:r>
    </w:p>
    <w:p w14:paraId="2A1BC6E5" w14:textId="77777777" w:rsidR="00CD500F" w:rsidRDefault="00CD500F" w:rsidP="002175EF">
      <w:pPr>
        <w:pStyle w:val="ListParagraph"/>
        <w:numPr>
          <w:ilvl w:val="0"/>
          <w:numId w:val="4"/>
        </w:numPr>
        <w:jc w:val="both"/>
        <w:rPr>
          <w:rFonts w:ascii="Calibri" w:hAnsi="Calibri" w:cs="Calibri"/>
          <w:sz w:val="23"/>
          <w:szCs w:val="23"/>
        </w:rPr>
      </w:pPr>
      <w:r w:rsidRPr="00CD500F">
        <w:rPr>
          <w:rFonts w:ascii="Calibri" w:hAnsi="Calibri" w:cs="Calibri"/>
          <w:sz w:val="23"/>
          <w:szCs w:val="23"/>
        </w:rPr>
        <w:t xml:space="preserve">The Guidance is referenced in the OT8 Notes but points out that the Guidance is not exclusive or exhaustive in the definitions of disability </w:t>
      </w:r>
    </w:p>
    <w:p w14:paraId="729450E4" w14:textId="7F98F5D4" w:rsidR="00CD500F" w:rsidRPr="00CD500F" w:rsidRDefault="00CD500F" w:rsidP="002175EF">
      <w:pPr>
        <w:pStyle w:val="ListParagraph"/>
        <w:numPr>
          <w:ilvl w:val="0"/>
          <w:numId w:val="4"/>
        </w:numPr>
        <w:jc w:val="both"/>
        <w:rPr>
          <w:rFonts w:ascii="Calibri" w:hAnsi="Calibri" w:cs="Calibri"/>
          <w:sz w:val="23"/>
          <w:szCs w:val="23"/>
        </w:rPr>
      </w:pPr>
      <w:r w:rsidRPr="00CD500F">
        <w:rPr>
          <w:rFonts w:ascii="Calibri" w:hAnsi="Calibri" w:cs="Calibri"/>
          <w:sz w:val="23"/>
          <w:szCs w:val="23"/>
        </w:rPr>
        <w:t xml:space="preserve">Ogden 8 takes that definition and refines it slightly: </w:t>
      </w:r>
    </w:p>
    <w:p w14:paraId="3EF026E0" w14:textId="77777777" w:rsidR="00CD500F" w:rsidRPr="00CD500F" w:rsidRDefault="00CD500F" w:rsidP="001D2D4F">
      <w:pPr>
        <w:ind w:left="993"/>
        <w:jc w:val="both"/>
        <w:rPr>
          <w:rFonts w:ascii="Calibri" w:hAnsi="Calibri" w:cs="Calibri"/>
          <w:sz w:val="23"/>
          <w:szCs w:val="23"/>
        </w:rPr>
      </w:pPr>
      <w:r w:rsidRPr="00CD500F">
        <w:rPr>
          <w:rFonts w:ascii="Calibri" w:hAnsi="Calibri" w:cs="Calibri"/>
          <w:i/>
          <w:iCs/>
          <w:sz w:val="23"/>
          <w:szCs w:val="23"/>
        </w:rPr>
        <w:t>“Disabled person</w:t>
      </w:r>
      <w:r w:rsidRPr="00CD500F">
        <w:rPr>
          <w:rFonts w:ascii="Calibri" w:hAnsi="Calibri" w:cs="Calibri"/>
          <w:sz w:val="23"/>
          <w:szCs w:val="23"/>
        </w:rPr>
        <w:t xml:space="preserve">”:  A person is classified as being disabled if all three of the following conditions in relation to ill-health or disability are met: </w:t>
      </w:r>
    </w:p>
    <w:p w14:paraId="1E103685" w14:textId="77777777" w:rsidR="00CD500F" w:rsidRPr="00CD500F" w:rsidRDefault="00CD500F" w:rsidP="002175EF">
      <w:pPr>
        <w:pStyle w:val="ListParagraph"/>
        <w:numPr>
          <w:ilvl w:val="0"/>
          <w:numId w:val="3"/>
        </w:numPr>
        <w:ind w:left="1701"/>
        <w:jc w:val="both"/>
        <w:rPr>
          <w:rFonts w:ascii="Calibri" w:hAnsi="Calibri" w:cs="Calibri"/>
          <w:sz w:val="23"/>
          <w:szCs w:val="23"/>
        </w:rPr>
      </w:pPr>
      <w:r w:rsidRPr="00CD500F">
        <w:rPr>
          <w:rFonts w:ascii="Calibri" w:hAnsi="Calibri" w:cs="Calibri"/>
          <w:sz w:val="23"/>
          <w:szCs w:val="23"/>
        </w:rPr>
        <w:t xml:space="preserve">The person has an illness or a disability exceeding a year or is a progressive illness; and </w:t>
      </w:r>
    </w:p>
    <w:p w14:paraId="6F08494E" w14:textId="77777777" w:rsidR="00CD500F" w:rsidRPr="00CD500F" w:rsidRDefault="00CD500F" w:rsidP="002175EF">
      <w:pPr>
        <w:pStyle w:val="ListParagraph"/>
        <w:numPr>
          <w:ilvl w:val="0"/>
          <w:numId w:val="3"/>
        </w:numPr>
        <w:ind w:left="1701"/>
        <w:jc w:val="both"/>
        <w:rPr>
          <w:rFonts w:ascii="Calibri" w:hAnsi="Calibri" w:cs="Calibri"/>
          <w:sz w:val="23"/>
          <w:szCs w:val="23"/>
        </w:rPr>
      </w:pPr>
      <w:r w:rsidRPr="00CD500F">
        <w:rPr>
          <w:rFonts w:ascii="Calibri" w:hAnsi="Calibri" w:cs="Calibri"/>
          <w:sz w:val="23"/>
          <w:szCs w:val="23"/>
        </w:rPr>
        <w:t xml:space="preserve">The </w:t>
      </w:r>
      <w:r w:rsidRPr="00CD500F">
        <w:rPr>
          <w:rFonts w:ascii="Calibri" w:hAnsi="Calibri" w:cs="Calibri"/>
          <w:b/>
          <w:bCs/>
          <w:sz w:val="23"/>
          <w:szCs w:val="23"/>
        </w:rPr>
        <w:t>DDA 1995</w:t>
      </w:r>
      <w:r w:rsidRPr="00CD500F">
        <w:rPr>
          <w:rFonts w:ascii="Calibri" w:hAnsi="Calibri" w:cs="Calibri"/>
          <w:sz w:val="23"/>
          <w:szCs w:val="23"/>
        </w:rPr>
        <w:t xml:space="preserve"> definition is satisfied in that the impact of the disability has a </w:t>
      </w:r>
      <w:r w:rsidRPr="00CD500F">
        <w:rPr>
          <w:rFonts w:ascii="Calibri" w:hAnsi="Calibri" w:cs="Calibri"/>
          <w:i/>
          <w:iCs/>
          <w:sz w:val="23"/>
          <w:szCs w:val="23"/>
        </w:rPr>
        <w:t>substantial adverse effect</w:t>
      </w:r>
      <w:r w:rsidRPr="00CD500F">
        <w:rPr>
          <w:rFonts w:ascii="Calibri" w:hAnsi="Calibri" w:cs="Calibri"/>
          <w:sz w:val="23"/>
          <w:szCs w:val="23"/>
        </w:rPr>
        <w:t xml:space="preserve"> on the person’s ability to carry out normal day-to-day activities; and </w:t>
      </w:r>
    </w:p>
    <w:p w14:paraId="2BF12FFF" w14:textId="77777777" w:rsidR="00CD500F" w:rsidRPr="00CD500F" w:rsidRDefault="00CD500F" w:rsidP="002175EF">
      <w:pPr>
        <w:pStyle w:val="ListParagraph"/>
        <w:numPr>
          <w:ilvl w:val="0"/>
          <w:numId w:val="3"/>
        </w:numPr>
        <w:ind w:left="1701"/>
        <w:jc w:val="both"/>
        <w:rPr>
          <w:rFonts w:ascii="Calibri" w:hAnsi="Calibri" w:cs="Calibri"/>
          <w:sz w:val="23"/>
          <w:szCs w:val="23"/>
        </w:rPr>
      </w:pPr>
      <w:r w:rsidRPr="00CD500F">
        <w:rPr>
          <w:rFonts w:ascii="Calibri" w:hAnsi="Calibri" w:cs="Calibri"/>
          <w:sz w:val="23"/>
          <w:szCs w:val="23"/>
        </w:rPr>
        <w:t xml:space="preserve">The effects of impairment limit either the kind or the amount of paid work he/she can do. </w:t>
      </w:r>
    </w:p>
    <w:p w14:paraId="5ECB0A73" w14:textId="77777777" w:rsidR="00CD500F" w:rsidRPr="00CD500F" w:rsidRDefault="00CD500F" w:rsidP="001D2D4F">
      <w:pPr>
        <w:ind w:left="993"/>
        <w:jc w:val="both"/>
        <w:rPr>
          <w:rFonts w:ascii="Calibri" w:hAnsi="Calibri" w:cs="Calibri"/>
          <w:sz w:val="23"/>
          <w:szCs w:val="23"/>
        </w:rPr>
      </w:pPr>
      <w:r w:rsidRPr="00CD500F">
        <w:rPr>
          <w:rFonts w:ascii="Calibri" w:hAnsi="Calibri" w:cs="Calibri"/>
          <w:sz w:val="23"/>
          <w:szCs w:val="23"/>
        </w:rPr>
        <w:t>“</w:t>
      </w:r>
      <w:r w:rsidRPr="00CD500F">
        <w:rPr>
          <w:rFonts w:ascii="Calibri" w:hAnsi="Calibri" w:cs="Calibri"/>
          <w:i/>
          <w:iCs/>
          <w:sz w:val="23"/>
          <w:szCs w:val="23"/>
        </w:rPr>
        <w:t>Not disabled</w:t>
      </w:r>
      <w:r w:rsidRPr="00CD500F">
        <w:rPr>
          <w:rFonts w:ascii="Calibri" w:hAnsi="Calibri" w:cs="Calibri"/>
          <w:sz w:val="23"/>
          <w:szCs w:val="23"/>
        </w:rPr>
        <w:t xml:space="preserve">”: is helpfully defined as ‘everybody else’ </w:t>
      </w:r>
    </w:p>
    <w:p w14:paraId="783ED4EC" w14:textId="2B8014C6" w:rsidR="00CD500F" w:rsidRDefault="00CD500F" w:rsidP="002175EF">
      <w:pPr>
        <w:pStyle w:val="ListParagraph"/>
        <w:numPr>
          <w:ilvl w:val="0"/>
          <w:numId w:val="5"/>
        </w:numPr>
        <w:jc w:val="both"/>
        <w:rPr>
          <w:rFonts w:ascii="Calibri" w:hAnsi="Calibri" w:cs="Calibri"/>
          <w:sz w:val="23"/>
          <w:szCs w:val="23"/>
        </w:rPr>
      </w:pPr>
      <w:r>
        <w:rPr>
          <w:rFonts w:ascii="Calibri" w:hAnsi="Calibri" w:cs="Calibri"/>
          <w:sz w:val="23"/>
          <w:szCs w:val="23"/>
        </w:rPr>
        <w:t>Y</w:t>
      </w:r>
      <w:r w:rsidRPr="00CD500F">
        <w:rPr>
          <w:rFonts w:ascii="Calibri" w:hAnsi="Calibri" w:cs="Calibri"/>
          <w:sz w:val="23"/>
          <w:szCs w:val="23"/>
        </w:rPr>
        <w:t xml:space="preserve">ou look to the DDA definition of disability - and the impact upon the normal activities of daily Living (‘ADL’) being more that </w:t>
      </w:r>
      <w:r w:rsidRPr="00CD500F">
        <w:rPr>
          <w:rFonts w:ascii="Calibri" w:hAnsi="Calibri" w:cs="Calibri"/>
          <w:i/>
          <w:iCs/>
          <w:sz w:val="23"/>
          <w:szCs w:val="23"/>
        </w:rPr>
        <w:t>minor</w:t>
      </w:r>
      <w:r w:rsidRPr="00CD500F">
        <w:rPr>
          <w:rFonts w:ascii="Calibri" w:hAnsi="Calibri" w:cs="Calibri"/>
          <w:sz w:val="23"/>
          <w:szCs w:val="23"/>
        </w:rPr>
        <w:t xml:space="preserve"> or </w:t>
      </w:r>
      <w:r w:rsidRPr="00CD500F">
        <w:rPr>
          <w:rFonts w:ascii="Calibri" w:hAnsi="Calibri" w:cs="Calibri"/>
          <w:i/>
          <w:iCs/>
          <w:sz w:val="23"/>
          <w:szCs w:val="23"/>
        </w:rPr>
        <w:t>trivial</w:t>
      </w:r>
      <w:r w:rsidRPr="00CD500F">
        <w:rPr>
          <w:rFonts w:ascii="Calibri" w:hAnsi="Calibri" w:cs="Calibri"/>
          <w:sz w:val="23"/>
          <w:szCs w:val="23"/>
        </w:rPr>
        <w:t xml:space="preserve">.  </w:t>
      </w:r>
    </w:p>
    <w:p w14:paraId="35F4E6B6" w14:textId="37764ECF" w:rsidR="00CD500F" w:rsidRDefault="00CD500F" w:rsidP="002175EF">
      <w:pPr>
        <w:pStyle w:val="ListParagraph"/>
        <w:numPr>
          <w:ilvl w:val="0"/>
          <w:numId w:val="5"/>
        </w:numPr>
        <w:jc w:val="both"/>
        <w:rPr>
          <w:rFonts w:ascii="Calibri" w:hAnsi="Calibri" w:cs="Calibri"/>
          <w:sz w:val="23"/>
          <w:szCs w:val="23"/>
        </w:rPr>
      </w:pPr>
      <w:r w:rsidRPr="00CD500F">
        <w:rPr>
          <w:rFonts w:ascii="Calibri" w:hAnsi="Calibri" w:cs="Calibri"/>
          <w:sz w:val="23"/>
          <w:szCs w:val="23"/>
        </w:rPr>
        <w:t xml:space="preserve">This means that you can find guidance on what that means in the EAT decisions of the period (certainly after 1998) which shows how the courts were trying to wrestle with an entirely new concept after the DDA came into being.  [Note: EAT decisions rank in legal hierarchy alongside those of the HC] </w:t>
      </w:r>
    </w:p>
    <w:p w14:paraId="20EE77C9" w14:textId="690751E5" w:rsidR="00CD500F" w:rsidRDefault="00CD500F" w:rsidP="002175EF">
      <w:pPr>
        <w:pStyle w:val="ListParagraph"/>
        <w:numPr>
          <w:ilvl w:val="0"/>
          <w:numId w:val="5"/>
        </w:numPr>
        <w:jc w:val="both"/>
        <w:rPr>
          <w:rFonts w:ascii="Calibri" w:hAnsi="Calibri" w:cs="Calibri"/>
          <w:sz w:val="23"/>
          <w:szCs w:val="23"/>
        </w:rPr>
      </w:pPr>
      <w:r w:rsidRPr="00CD500F">
        <w:rPr>
          <w:rFonts w:ascii="Calibri" w:hAnsi="Calibri" w:cs="Calibri"/>
          <w:sz w:val="23"/>
          <w:szCs w:val="23"/>
          <w:u w:val="single"/>
        </w:rPr>
        <w:t>But</w:t>
      </w:r>
      <w:r w:rsidRPr="00CD500F">
        <w:rPr>
          <w:rFonts w:ascii="Calibri" w:hAnsi="Calibri" w:cs="Calibri"/>
          <w:sz w:val="23"/>
          <w:szCs w:val="23"/>
        </w:rPr>
        <w:t xml:space="preserve"> the data concerning disability in 2019/2020 is substantially better than it was in the period before 1995. As</w:t>
      </w:r>
      <w:r w:rsidRPr="00CD500F">
        <w:rPr>
          <w:rFonts w:ascii="Calibri" w:hAnsi="Calibri" w:cs="Calibri"/>
          <w:i/>
          <w:iCs/>
          <w:sz w:val="23"/>
          <w:szCs w:val="23"/>
        </w:rPr>
        <w:t xml:space="preserve"> </w:t>
      </w:r>
      <w:r w:rsidRPr="00CD500F">
        <w:rPr>
          <w:rFonts w:ascii="Calibri" w:hAnsi="Calibri" w:cs="Calibri"/>
          <w:sz w:val="23"/>
          <w:szCs w:val="23"/>
        </w:rPr>
        <w:t xml:space="preserve">the Notes point out the prevalence of disability in the working age population </w:t>
      </w:r>
      <w:r w:rsidR="005A6C84">
        <w:rPr>
          <w:rFonts w:ascii="Calibri" w:hAnsi="Calibri" w:cs="Calibri"/>
          <w:sz w:val="23"/>
          <w:szCs w:val="23"/>
        </w:rPr>
        <w:t>wa</w:t>
      </w:r>
      <w:r w:rsidRPr="00CD500F">
        <w:rPr>
          <w:rFonts w:ascii="Calibri" w:hAnsi="Calibri" w:cs="Calibri"/>
          <w:sz w:val="23"/>
          <w:szCs w:val="23"/>
        </w:rPr>
        <w:t>s 19% in 2019 but was only 12% on 1998</w:t>
      </w:r>
      <w:r w:rsidR="005A6C84">
        <w:rPr>
          <w:rFonts w:ascii="Calibri" w:hAnsi="Calibri" w:cs="Calibri"/>
          <w:sz w:val="23"/>
          <w:szCs w:val="23"/>
        </w:rPr>
        <w:t xml:space="preserve"> </w:t>
      </w:r>
      <w:r w:rsidRPr="00CD500F">
        <w:rPr>
          <w:rFonts w:ascii="Calibri" w:hAnsi="Calibri" w:cs="Calibri"/>
          <w:sz w:val="23"/>
          <w:szCs w:val="23"/>
        </w:rPr>
        <w:t xml:space="preserve">– a rise of over 50%. </w:t>
      </w:r>
    </w:p>
    <w:p w14:paraId="3D4C45FC" w14:textId="1AFD8C4C" w:rsidR="00CD500F" w:rsidRDefault="00CD500F" w:rsidP="002175EF">
      <w:pPr>
        <w:pStyle w:val="ListParagraph"/>
        <w:numPr>
          <w:ilvl w:val="0"/>
          <w:numId w:val="5"/>
        </w:numPr>
        <w:jc w:val="both"/>
        <w:rPr>
          <w:rFonts w:ascii="Calibri" w:hAnsi="Calibri" w:cs="Calibri"/>
          <w:sz w:val="23"/>
          <w:szCs w:val="23"/>
        </w:rPr>
      </w:pPr>
      <w:r w:rsidRPr="00CD500F">
        <w:rPr>
          <w:rFonts w:ascii="Calibri" w:hAnsi="Calibri" w:cs="Calibri"/>
          <w:sz w:val="23"/>
          <w:szCs w:val="23"/>
        </w:rPr>
        <w:t xml:space="preserve">This is attributed to increased reporting of qualifying activity-limiting impairments rather than an increase in the number or severity of such impairments according to the Office of National Statistics. </w:t>
      </w:r>
    </w:p>
    <w:p w14:paraId="69EAC358" w14:textId="59CB4439" w:rsidR="00CD500F" w:rsidRDefault="00CD500F" w:rsidP="002175EF">
      <w:pPr>
        <w:pStyle w:val="ListParagraph"/>
        <w:numPr>
          <w:ilvl w:val="0"/>
          <w:numId w:val="5"/>
        </w:numPr>
        <w:jc w:val="both"/>
        <w:rPr>
          <w:rFonts w:ascii="Calibri" w:hAnsi="Calibri" w:cs="Calibri"/>
          <w:sz w:val="23"/>
          <w:szCs w:val="23"/>
        </w:rPr>
      </w:pPr>
      <w:r w:rsidRPr="00CD500F">
        <w:rPr>
          <w:rFonts w:ascii="Calibri" w:hAnsi="Calibri" w:cs="Calibri"/>
          <w:sz w:val="23"/>
          <w:szCs w:val="23"/>
        </w:rPr>
        <w:t xml:space="preserve">Normal ADL’s do not of course include the specific job requirements of the claimant.  The fact that he/she </w:t>
      </w:r>
      <w:r w:rsidR="00FE6CD5" w:rsidRPr="00CD500F">
        <w:rPr>
          <w:rFonts w:ascii="Calibri" w:hAnsi="Calibri" w:cs="Calibri"/>
          <w:sz w:val="23"/>
          <w:szCs w:val="23"/>
        </w:rPr>
        <w:t>cannot</w:t>
      </w:r>
      <w:r w:rsidRPr="00CD500F">
        <w:rPr>
          <w:rFonts w:ascii="Calibri" w:hAnsi="Calibri" w:cs="Calibri"/>
          <w:sz w:val="23"/>
          <w:szCs w:val="23"/>
        </w:rPr>
        <w:t xml:space="preserve"> install double-glazing or be a furniture remover as they were before it not in fact all that relevant.   But the job they do is relevant to the </w:t>
      </w:r>
      <w:r>
        <w:rPr>
          <w:rFonts w:ascii="Calibri" w:hAnsi="Calibri" w:cs="Calibri"/>
          <w:sz w:val="23"/>
          <w:szCs w:val="23"/>
        </w:rPr>
        <w:t>RF.</w:t>
      </w:r>
    </w:p>
    <w:p w14:paraId="2C002199" w14:textId="77777777" w:rsidR="00CD500F" w:rsidRDefault="00CD500F" w:rsidP="002175EF">
      <w:pPr>
        <w:pStyle w:val="ListParagraph"/>
        <w:numPr>
          <w:ilvl w:val="0"/>
          <w:numId w:val="5"/>
        </w:numPr>
        <w:jc w:val="both"/>
        <w:rPr>
          <w:rFonts w:ascii="Calibri" w:hAnsi="Calibri" w:cs="Calibri"/>
          <w:sz w:val="23"/>
          <w:szCs w:val="23"/>
        </w:rPr>
      </w:pPr>
      <w:r w:rsidRPr="00CD500F">
        <w:rPr>
          <w:rFonts w:ascii="Calibri" w:hAnsi="Calibri" w:cs="Calibri"/>
          <w:sz w:val="23"/>
          <w:szCs w:val="23"/>
        </w:rPr>
        <w:t>Normal day-to-day activities are those which are carried out by most people on a daily basis and which include those carried out at work.</w:t>
      </w:r>
    </w:p>
    <w:p w14:paraId="51DACB68" w14:textId="320257C2" w:rsidR="00CD500F" w:rsidRDefault="00CD500F" w:rsidP="002175EF">
      <w:pPr>
        <w:pStyle w:val="ListParagraph"/>
        <w:numPr>
          <w:ilvl w:val="0"/>
          <w:numId w:val="5"/>
        </w:numPr>
        <w:jc w:val="both"/>
        <w:rPr>
          <w:rFonts w:ascii="Calibri" w:hAnsi="Calibri" w:cs="Calibri"/>
          <w:sz w:val="23"/>
          <w:szCs w:val="23"/>
        </w:rPr>
      </w:pPr>
      <w:r w:rsidRPr="00CD500F">
        <w:rPr>
          <w:rFonts w:ascii="Calibri" w:hAnsi="Calibri" w:cs="Calibri"/>
          <w:i/>
          <w:iCs/>
          <w:sz w:val="23"/>
          <w:szCs w:val="23"/>
        </w:rPr>
        <w:lastRenderedPageBreak/>
        <w:t>Billett v MOD</w:t>
      </w:r>
      <w:r w:rsidRPr="00CD500F">
        <w:rPr>
          <w:rStyle w:val="FootnoteReference"/>
          <w:rFonts w:ascii="Calibri" w:hAnsi="Calibri" w:cs="Calibri"/>
          <w:b/>
          <w:bCs/>
          <w:sz w:val="23"/>
          <w:szCs w:val="23"/>
        </w:rPr>
        <w:footnoteReference w:id="1"/>
      </w:r>
      <w:r w:rsidRPr="00CD500F">
        <w:rPr>
          <w:rFonts w:ascii="Calibri" w:hAnsi="Calibri" w:cs="Calibri"/>
          <w:sz w:val="23"/>
          <w:szCs w:val="23"/>
        </w:rPr>
        <w:t xml:space="preserve"> in was a point of controversy in which Dr Wass (Panel member) was called to confirm that </w:t>
      </w:r>
      <w:r w:rsidRPr="00CD500F">
        <w:rPr>
          <w:rFonts w:ascii="Calibri" w:hAnsi="Calibri" w:cs="Calibri"/>
          <w:i/>
          <w:iCs/>
          <w:sz w:val="23"/>
          <w:szCs w:val="23"/>
        </w:rPr>
        <w:t>Billet</w:t>
      </w:r>
      <w:r w:rsidRPr="00CD500F">
        <w:rPr>
          <w:rFonts w:ascii="Calibri" w:hAnsi="Calibri" w:cs="Calibri"/>
          <w:sz w:val="23"/>
          <w:szCs w:val="23"/>
        </w:rPr>
        <w:t xml:space="preserve"> was not – in fact – disabled under the definition.  The CA ignor</w:t>
      </w:r>
      <w:r>
        <w:rPr>
          <w:rFonts w:ascii="Calibri" w:hAnsi="Calibri" w:cs="Calibri"/>
          <w:sz w:val="23"/>
          <w:szCs w:val="23"/>
        </w:rPr>
        <w:t>ed</w:t>
      </w:r>
      <w:r w:rsidRPr="00CD500F">
        <w:rPr>
          <w:rFonts w:ascii="Calibri" w:hAnsi="Calibri" w:cs="Calibri"/>
          <w:sz w:val="23"/>
          <w:szCs w:val="23"/>
        </w:rPr>
        <w:t xml:space="preserve"> that evidence and then awarding damages equivalent to a </w:t>
      </w:r>
      <w:r w:rsidRPr="00CD500F">
        <w:rPr>
          <w:rFonts w:ascii="Calibri" w:hAnsi="Calibri" w:cs="Calibri"/>
          <w:i/>
          <w:iCs/>
          <w:sz w:val="23"/>
          <w:szCs w:val="23"/>
        </w:rPr>
        <w:t>Smith v Manchester</w:t>
      </w:r>
      <w:r w:rsidRPr="00CD500F">
        <w:rPr>
          <w:rFonts w:ascii="Calibri" w:hAnsi="Calibri" w:cs="Calibri"/>
          <w:sz w:val="23"/>
          <w:szCs w:val="23"/>
        </w:rPr>
        <w:t xml:space="preserve"> basis anyway. </w:t>
      </w:r>
    </w:p>
    <w:p w14:paraId="1DBE5732" w14:textId="47389C0A" w:rsidR="00CD500F" w:rsidRDefault="00CD500F" w:rsidP="002175EF">
      <w:pPr>
        <w:pStyle w:val="ListParagraph"/>
        <w:numPr>
          <w:ilvl w:val="0"/>
          <w:numId w:val="5"/>
        </w:numPr>
        <w:jc w:val="both"/>
        <w:rPr>
          <w:rFonts w:ascii="Calibri" w:hAnsi="Calibri" w:cs="Calibri"/>
          <w:sz w:val="23"/>
          <w:szCs w:val="23"/>
        </w:rPr>
      </w:pPr>
      <w:r w:rsidRPr="00CD500F">
        <w:rPr>
          <w:rFonts w:ascii="Calibri" w:hAnsi="Calibri" w:cs="Calibri"/>
          <w:i/>
          <w:iCs/>
          <w:sz w:val="23"/>
          <w:szCs w:val="23"/>
        </w:rPr>
        <w:t>Billet</w:t>
      </w:r>
      <w:r w:rsidRPr="00CD500F">
        <w:rPr>
          <w:rFonts w:ascii="Calibri" w:hAnsi="Calibri" w:cs="Calibri"/>
          <w:sz w:val="23"/>
          <w:szCs w:val="23"/>
        </w:rPr>
        <w:t xml:space="preserve"> has few if any followers in the Courts since it was heard</w:t>
      </w:r>
      <w:r>
        <w:rPr>
          <w:rFonts w:ascii="Calibri" w:hAnsi="Calibri" w:cs="Calibri"/>
          <w:sz w:val="23"/>
          <w:szCs w:val="23"/>
        </w:rPr>
        <w:t>.</w:t>
      </w:r>
    </w:p>
    <w:p w14:paraId="34F1CE03" w14:textId="64E44452" w:rsidR="00CD500F" w:rsidRDefault="00CD500F" w:rsidP="002175EF">
      <w:pPr>
        <w:pStyle w:val="ListParagraph"/>
        <w:numPr>
          <w:ilvl w:val="0"/>
          <w:numId w:val="5"/>
        </w:numPr>
        <w:jc w:val="both"/>
        <w:rPr>
          <w:rFonts w:ascii="Calibri" w:hAnsi="Calibri" w:cs="Calibri"/>
          <w:sz w:val="23"/>
          <w:szCs w:val="23"/>
        </w:rPr>
      </w:pPr>
      <w:r w:rsidRPr="00CD500F">
        <w:rPr>
          <w:rFonts w:ascii="Calibri" w:hAnsi="Calibri" w:cs="Calibri"/>
          <w:sz w:val="23"/>
          <w:szCs w:val="23"/>
        </w:rPr>
        <w:t xml:space="preserve">The Notes may make a point that </w:t>
      </w:r>
      <w:r w:rsidRPr="00CD500F">
        <w:rPr>
          <w:rFonts w:ascii="Calibri" w:hAnsi="Calibri" w:cs="Calibri"/>
          <w:i/>
          <w:iCs/>
          <w:sz w:val="23"/>
          <w:szCs w:val="23"/>
        </w:rPr>
        <w:t>Billet’s</w:t>
      </w:r>
      <w:r w:rsidRPr="00CD500F">
        <w:rPr>
          <w:rFonts w:ascii="Calibri" w:hAnsi="Calibri" w:cs="Calibri"/>
          <w:sz w:val="23"/>
          <w:szCs w:val="23"/>
        </w:rPr>
        <w:t xml:space="preserve"> disability may well have qualified under the EA 2010 definition – but not the DDA definition. </w:t>
      </w:r>
    </w:p>
    <w:p w14:paraId="1CF0AFA4" w14:textId="503C5BDA" w:rsidR="00CD500F" w:rsidRPr="001D2D4F" w:rsidRDefault="00CD500F" w:rsidP="002175EF">
      <w:pPr>
        <w:pStyle w:val="ListParagraph"/>
        <w:numPr>
          <w:ilvl w:val="0"/>
          <w:numId w:val="5"/>
        </w:numPr>
        <w:jc w:val="both"/>
        <w:rPr>
          <w:rFonts w:ascii="Calibri" w:hAnsi="Calibri" w:cs="Calibri"/>
          <w:sz w:val="23"/>
          <w:szCs w:val="23"/>
        </w:rPr>
      </w:pPr>
      <w:r w:rsidRPr="00CD500F">
        <w:rPr>
          <w:rFonts w:ascii="Calibri" w:hAnsi="Calibri" w:cs="Calibri"/>
          <w:sz w:val="23"/>
          <w:szCs w:val="23"/>
        </w:rPr>
        <w:t xml:space="preserve">The definitions in the Notes have not changed and they reflect the original DDA guidelines. </w:t>
      </w:r>
      <w:r w:rsidRPr="001D2D4F">
        <w:rPr>
          <w:rFonts w:ascii="Calibri" w:hAnsi="Calibri" w:cs="Calibri"/>
          <w:sz w:val="23"/>
          <w:szCs w:val="23"/>
        </w:rPr>
        <w:t>However</w:t>
      </w:r>
      <w:r w:rsidR="001D2D4F">
        <w:rPr>
          <w:rFonts w:ascii="Calibri" w:hAnsi="Calibri" w:cs="Calibri"/>
          <w:sz w:val="23"/>
          <w:szCs w:val="23"/>
        </w:rPr>
        <w:t>, (i) t</w:t>
      </w:r>
      <w:r w:rsidRPr="001D2D4F">
        <w:rPr>
          <w:rFonts w:ascii="Calibri" w:hAnsi="Calibri" w:cs="Calibri"/>
          <w:sz w:val="23"/>
          <w:szCs w:val="23"/>
        </w:rPr>
        <w:t>he Notes places those in context</w:t>
      </w:r>
      <w:r w:rsidR="001D2D4F" w:rsidRPr="001D2D4F">
        <w:rPr>
          <w:rFonts w:ascii="Calibri" w:hAnsi="Calibri" w:cs="Calibri"/>
          <w:sz w:val="23"/>
          <w:szCs w:val="23"/>
        </w:rPr>
        <w:t>;</w:t>
      </w:r>
      <w:r w:rsidR="001D2D4F">
        <w:rPr>
          <w:rFonts w:ascii="Calibri" w:hAnsi="Calibri" w:cs="Calibri"/>
          <w:sz w:val="23"/>
          <w:szCs w:val="23"/>
        </w:rPr>
        <w:t xml:space="preserve"> (ii) b</w:t>
      </w:r>
      <w:r w:rsidRPr="001D2D4F">
        <w:rPr>
          <w:rFonts w:ascii="Calibri" w:hAnsi="Calibri" w:cs="Calibri"/>
          <w:sz w:val="23"/>
          <w:szCs w:val="23"/>
        </w:rPr>
        <w:t>ear in mind the Notes were intended to deal with discrimination, not working ability</w:t>
      </w:r>
      <w:r w:rsidR="001D2D4F">
        <w:rPr>
          <w:rFonts w:ascii="Calibri" w:hAnsi="Calibri" w:cs="Calibri"/>
          <w:sz w:val="23"/>
          <w:szCs w:val="23"/>
        </w:rPr>
        <w:t xml:space="preserve">; and (iii) </w:t>
      </w:r>
      <w:r w:rsidRPr="001D2D4F">
        <w:rPr>
          <w:rFonts w:ascii="Calibri" w:hAnsi="Calibri" w:cs="Calibri"/>
          <w:sz w:val="23"/>
          <w:szCs w:val="23"/>
        </w:rPr>
        <w:t xml:space="preserve">ADL’s were referenced only to assist in definition/identification of disability – not the impact upon person ability to work or earn an income. </w:t>
      </w:r>
    </w:p>
    <w:p w14:paraId="3EEE81E3" w14:textId="77777777" w:rsidR="00CD500F" w:rsidRDefault="00CD500F" w:rsidP="002175EF">
      <w:pPr>
        <w:pStyle w:val="ListParagraph"/>
        <w:numPr>
          <w:ilvl w:val="0"/>
          <w:numId w:val="6"/>
        </w:numPr>
        <w:ind w:left="709"/>
        <w:jc w:val="both"/>
        <w:rPr>
          <w:rFonts w:ascii="Calibri" w:hAnsi="Calibri" w:cs="Calibri"/>
          <w:sz w:val="23"/>
          <w:szCs w:val="23"/>
        </w:rPr>
      </w:pPr>
      <w:r w:rsidRPr="00CD500F">
        <w:rPr>
          <w:rFonts w:ascii="Calibri" w:hAnsi="Calibri" w:cs="Calibri"/>
          <w:sz w:val="23"/>
          <w:szCs w:val="23"/>
        </w:rPr>
        <w:t>The Notes make the following important points to give courts/parties explicit guidance</w:t>
      </w:r>
      <w:r>
        <w:rPr>
          <w:rFonts w:ascii="Calibri" w:hAnsi="Calibri" w:cs="Calibri"/>
          <w:sz w:val="23"/>
          <w:szCs w:val="23"/>
        </w:rPr>
        <w:t>.</w:t>
      </w:r>
    </w:p>
    <w:p w14:paraId="5D7D1CDF" w14:textId="77777777" w:rsidR="00CD500F" w:rsidRDefault="00CD500F" w:rsidP="002175EF">
      <w:pPr>
        <w:pStyle w:val="ListParagraph"/>
        <w:numPr>
          <w:ilvl w:val="0"/>
          <w:numId w:val="6"/>
        </w:numPr>
        <w:ind w:left="709"/>
        <w:jc w:val="both"/>
        <w:rPr>
          <w:rFonts w:ascii="Calibri" w:hAnsi="Calibri" w:cs="Calibri"/>
          <w:sz w:val="23"/>
          <w:szCs w:val="23"/>
        </w:rPr>
      </w:pPr>
      <w:r w:rsidRPr="00CD500F">
        <w:rPr>
          <w:rFonts w:ascii="Calibri" w:hAnsi="Calibri" w:cs="Calibri"/>
          <w:sz w:val="23"/>
          <w:szCs w:val="23"/>
        </w:rPr>
        <w:t xml:space="preserve">Departing from the reduction factors: </w:t>
      </w:r>
    </w:p>
    <w:p w14:paraId="4E58F7C8" w14:textId="77777777" w:rsidR="00CD500F" w:rsidRDefault="00CD500F" w:rsidP="002175EF">
      <w:pPr>
        <w:pStyle w:val="ListParagraph"/>
        <w:numPr>
          <w:ilvl w:val="1"/>
          <w:numId w:val="6"/>
        </w:numPr>
        <w:ind w:left="1134"/>
        <w:jc w:val="both"/>
        <w:rPr>
          <w:rFonts w:ascii="Calibri" w:hAnsi="Calibri" w:cs="Calibri"/>
          <w:sz w:val="23"/>
          <w:szCs w:val="23"/>
        </w:rPr>
      </w:pPr>
      <w:r w:rsidRPr="00CD500F">
        <w:rPr>
          <w:rFonts w:ascii="Calibri" w:hAnsi="Calibri" w:cs="Calibri"/>
          <w:sz w:val="23"/>
          <w:szCs w:val="23"/>
        </w:rPr>
        <w:t>The Notes effectively invite the courts to stop fiddling around with reduction factors on an impressionistic basis</w:t>
      </w:r>
      <w:r>
        <w:rPr>
          <w:rFonts w:ascii="Calibri" w:hAnsi="Calibri" w:cs="Calibri"/>
          <w:sz w:val="23"/>
          <w:szCs w:val="23"/>
        </w:rPr>
        <w:t>.</w:t>
      </w:r>
    </w:p>
    <w:p w14:paraId="03131CEA" w14:textId="77777777" w:rsidR="00CD500F" w:rsidRDefault="00CD500F" w:rsidP="002175EF">
      <w:pPr>
        <w:pStyle w:val="ListParagraph"/>
        <w:numPr>
          <w:ilvl w:val="1"/>
          <w:numId w:val="6"/>
        </w:numPr>
        <w:ind w:left="1134"/>
        <w:jc w:val="both"/>
        <w:rPr>
          <w:rFonts w:ascii="Calibri" w:hAnsi="Calibri" w:cs="Calibri"/>
          <w:sz w:val="23"/>
          <w:szCs w:val="23"/>
        </w:rPr>
      </w:pPr>
      <w:r w:rsidRPr="00CD500F">
        <w:rPr>
          <w:rFonts w:ascii="Calibri" w:hAnsi="Calibri" w:cs="Calibri"/>
          <w:sz w:val="23"/>
          <w:szCs w:val="23"/>
        </w:rPr>
        <w:t xml:space="preserve">Disability is </w:t>
      </w:r>
      <w:r w:rsidRPr="00CD500F">
        <w:rPr>
          <w:rFonts w:ascii="Calibri" w:hAnsi="Calibri" w:cs="Calibri"/>
          <w:i/>
          <w:iCs/>
          <w:sz w:val="23"/>
          <w:szCs w:val="23"/>
        </w:rPr>
        <w:t>binary</w:t>
      </w:r>
      <w:r w:rsidRPr="00CD500F">
        <w:rPr>
          <w:rFonts w:ascii="Calibri" w:hAnsi="Calibri" w:cs="Calibri"/>
          <w:sz w:val="23"/>
          <w:szCs w:val="23"/>
        </w:rPr>
        <w:t xml:space="preserve"> - measured as either disabled or not disabled and both categories include different levels of severity of impairment and activity-limitation. </w:t>
      </w:r>
    </w:p>
    <w:p w14:paraId="7E3B69AE" w14:textId="77777777" w:rsidR="00CD500F" w:rsidRDefault="00CD500F" w:rsidP="002175EF">
      <w:pPr>
        <w:pStyle w:val="ListParagraph"/>
        <w:numPr>
          <w:ilvl w:val="1"/>
          <w:numId w:val="6"/>
        </w:numPr>
        <w:ind w:left="1134"/>
        <w:jc w:val="both"/>
        <w:rPr>
          <w:rFonts w:ascii="Calibri" w:hAnsi="Calibri" w:cs="Calibri"/>
          <w:sz w:val="23"/>
          <w:szCs w:val="23"/>
        </w:rPr>
      </w:pPr>
      <w:r w:rsidRPr="00CD500F">
        <w:rPr>
          <w:rFonts w:ascii="Calibri" w:hAnsi="Calibri" w:cs="Calibri"/>
          <w:sz w:val="23"/>
          <w:szCs w:val="23"/>
        </w:rPr>
        <w:t xml:space="preserve">It is a misconception that impairment and activity-limitation must be severe or at least moderately severe to qualify as a disability. </w:t>
      </w:r>
    </w:p>
    <w:p w14:paraId="4C25C65B" w14:textId="369C9B74" w:rsidR="00CD500F" w:rsidRDefault="00CD500F" w:rsidP="002175EF">
      <w:pPr>
        <w:pStyle w:val="ListParagraph"/>
        <w:numPr>
          <w:ilvl w:val="1"/>
          <w:numId w:val="6"/>
        </w:numPr>
        <w:ind w:left="1134"/>
        <w:jc w:val="both"/>
        <w:rPr>
          <w:rFonts w:ascii="Calibri" w:hAnsi="Calibri" w:cs="Calibri"/>
          <w:sz w:val="23"/>
          <w:szCs w:val="23"/>
        </w:rPr>
      </w:pPr>
      <w:r w:rsidRPr="00CD500F">
        <w:rPr>
          <w:rFonts w:ascii="Calibri" w:hAnsi="Calibri" w:cs="Calibri"/>
          <w:sz w:val="23"/>
          <w:szCs w:val="23"/>
        </w:rPr>
        <w:t xml:space="preserve">The Notes point out - by reference to specific data – as long as the claimant meets the Ogden definition of disability, a departure on the basis of a perceived mild impairment / activity-limitation might not be appropriate </w:t>
      </w:r>
    </w:p>
    <w:p w14:paraId="6324F57F" w14:textId="77777777" w:rsidR="00CD500F" w:rsidRDefault="00CD500F" w:rsidP="002175EF">
      <w:pPr>
        <w:pStyle w:val="ListParagraph"/>
        <w:numPr>
          <w:ilvl w:val="1"/>
          <w:numId w:val="6"/>
        </w:numPr>
        <w:ind w:left="1134"/>
        <w:jc w:val="both"/>
        <w:rPr>
          <w:rFonts w:ascii="Calibri" w:hAnsi="Calibri" w:cs="Calibri"/>
          <w:sz w:val="23"/>
          <w:szCs w:val="23"/>
        </w:rPr>
      </w:pPr>
      <w:r w:rsidRPr="00CD500F">
        <w:rPr>
          <w:rFonts w:ascii="Calibri" w:hAnsi="Calibri" w:cs="Calibri"/>
          <w:sz w:val="23"/>
          <w:szCs w:val="23"/>
        </w:rPr>
        <w:t xml:space="preserve">Any departure should be one in context: how the degree of residual disability may have a different effect on residual earnings depending upon its relevance to the claimant’s likely field of work. </w:t>
      </w:r>
    </w:p>
    <w:p w14:paraId="7C0EEF81" w14:textId="77777777" w:rsidR="00CD500F" w:rsidRDefault="00CD500F" w:rsidP="002175EF">
      <w:pPr>
        <w:pStyle w:val="ListParagraph"/>
        <w:numPr>
          <w:ilvl w:val="1"/>
          <w:numId w:val="6"/>
        </w:numPr>
        <w:ind w:left="1134"/>
        <w:jc w:val="both"/>
        <w:rPr>
          <w:rFonts w:ascii="Calibri" w:hAnsi="Calibri" w:cs="Calibri"/>
          <w:sz w:val="23"/>
          <w:szCs w:val="23"/>
        </w:rPr>
      </w:pPr>
      <w:r w:rsidRPr="00CD500F">
        <w:rPr>
          <w:rFonts w:ascii="Calibri" w:hAnsi="Calibri" w:cs="Calibri"/>
          <w:sz w:val="23"/>
          <w:szCs w:val="23"/>
        </w:rPr>
        <w:t xml:space="preserve">In this regard there is a distinction between </w:t>
      </w:r>
      <w:r w:rsidRPr="00CD500F">
        <w:rPr>
          <w:rFonts w:ascii="Calibri" w:hAnsi="Calibri" w:cs="Calibri"/>
          <w:b/>
          <w:bCs/>
          <w:sz w:val="23"/>
          <w:szCs w:val="23"/>
        </w:rPr>
        <w:t>impairment and disability.</w:t>
      </w:r>
      <w:r w:rsidRPr="00CD500F">
        <w:rPr>
          <w:rFonts w:ascii="Calibri" w:hAnsi="Calibri" w:cs="Calibri"/>
          <w:sz w:val="23"/>
          <w:szCs w:val="23"/>
        </w:rPr>
        <w:t xml:space="preserve"> </w:t>
      </w:r>
    </w:p>
    <w:p w14:paraId="4CCF46E9" w14:textId="77777777" w:rsidR="00CD500F" w:rsidRDefault="00CD500F" w:rsidP="002175EF">
      <w:pPr>
        <w:pStyle w:val="ListParagraph"/>
        <w:numPr>
          <w:ilvl w:val="1"/>
          <w:numId w:val="6"/>
        </w:numPr>
        <w:ind w:left="1134"/>
        <w:jc w:val="both"/>
        <w:rPr>
          <w:rFonts w:ascii="Calibri" w:hAnsi="Calibri" w:cs="Calibri"/>
          <w:sz w:val="23"/>
          <w:szCs w:val="23"/>
        </w:rPr>
      </w:pPr>
      <w:r w:rsidRPr="00CD500F">
        <w:rPr>
          <w:rFonts w:ascii="Calibri" w:hAnsi="Calibri" w:cs="Calibri"/>
          <w:sz w:val="23"/>
          <w:szCs w:val="23"/>
        </w:rPr>
        <w:t>For example, a lower limb amputation may have less effect on a</w:t>
      </w:r>
      <w:r>
        <w:rPr>
          <w:rFonts w:ascii="Calibri" w:hAnsi="Calibri" w:cs="Calibri"/>
          <w:sz w:val="23"/>
          <w:szCs w:val="23"/>
        </w:rPr>
        <w:t xml:space="preserve"> </w:t>
      </w:r>
      <w:r w:rsidRPr="00CD500F">
        <w:rPr>
          <w:rFonts w:ascii="Calibri" w:hAnsi="Calibri" w:cs="Calibri"/>
          <w:sz w:val="23"/>
          <w:szCs w:val="23"/>
        </w:rPr>
        <w:t xml:space="preserve">sedentary worker’s earnings than on the earnings of a manual worker. </w:t>
      </w:r>
    </w:p>
    <w:p w14:paraId="3577EAFD" w14:textId="77777777" w:rsidR="00CD500F" w:rsidRDefault="00CD500F" w:rsidP="002175EF">
      <w:pPr>
        <w:pStyle w:val="ListParagraph"/>
        <w:numPr>
          <w:ilvl w:val="1"/>
          <w:numId w:val="6"/>
        </w:numPr>
        <w:ind w:left="1134"/>
        <w:jc w:val="both"/>
        <w:rPr>
          <w:rFonts w:ascii="Calibri" w:hAnsi="Calibri" w:cs="Calibri"/>
          <w:sz w:val="23"/>
          <w:szCs w:val="23"/>
        </w:rPr>
      </w:pPr>
      <w:r w:rsidRPr="00CD500F">
        <w:rPr>
          <w:rFonts w:ascii="Calibri" w:hAnsi="Calibri" w:cs="Calibri"/>
          <w:sz w:val="23"/>
          <w:szCs w:val="23"/>
        </w:rPr>
        <w:t xml:space="preserve">Likewise, cognitive problems may prevent someone from continuing to work in a professional capacity where the same problems may not prevent continuing employment in job roles with low cognitive demands.  </w:t>
      </w:r>
    </w:p>
    <w:p w14:paraId="53EE0F81" w14:textId="721547FF" w:rsidR="00CD500F" w:rsidRPr="00CD500F" w:rsidRDefault="00CD500F" w:rsidP="002175EF">
      <w:pPr>
        <w:pStyle w:val="ListParagraph"/>
        <w:numPr>
          <w:ilvl w:val="1"/>
          <w:numId w:val="6"/>
        </w:numPr>
        <w:ind w:left="1134"/>
        <w:jc w:val="both"/>
        <w:rPr>
          <w:rFonts w:ascii="Calibri" w:hAnsi="Calibri" w:cs="Calibri"/>
          <w:sz w:val="23"/>
          <w:szCs w:val="23"/>
        </w:rPr>
      </w:pPr>
      <w:r w:rsidRPr="00CD500F">
        <w:rPr>
          <w:rFonts w:ascii="Calibri" w:hAnsi="Calibri" w:cs="Calibri"/>
          <w:sz w:val="23"/>
          <w:szCs w:val="23"/>
        </w:rPr>
        <w:t xml:space="preserve">This is where the DDA and the OT8 overlap: Disability is more closely related to employment outcomes than is impairment. You are impaired by an amputation no matter what job you do.  But the impact upon your actual or occupation may vary significantly. </w:t>
      </w:r>
    </w:p>
    <w:p w14:paraId="71BC4612" w14:textId="77777777" w:rsidR="00F30709" w:rsidRDefault="00CD500F" w:rsidP="00F30709">
      <w:pPr>
        <w:pStyle w:val="ListParagraph"/>
        <w:numPr>
          <w:ilvl w:val="0"/>
          <w:numId w:val="7"/>
        </w:numPr>
        <w:jc w:val="both"/>
        <w:rPr>
          <w:rFonts w:ascii="Calibri" w:hAnsi="Calibri" w:cs="Calibri"/>
          <w:sz w:val="23"/>
          <w:szCs w:val="23"/>
        </w:rPr>
      </w:pPr>
      <w:r w:rsidRPr="00CD500F">
        <w:rPr>
          <w:rFonts w:ascii="Calibri" w:hAnsi="Calibri" w:cs="Calibri"/>
          <w:sz w:val="23"/>
          <w:szCs w:val="23"/>
        </w:rPr>
        <w:t>Disability is the better predictor of employment prospects than the impairment itself</w:t>
      </w:r>
      <w:r>
        <w:rPr>
          <w:rFonts w:ascii="Calibri" w:hAnsi="Calibri" w:cs="Calibri"/>
          <w:sz w:val="23"/>
          <w:szCs w:val="23"/>
        </w:rPr>
        <w:t xml:space="preserve">. </w:t>
      </w:r>
      <w:r w:rsidRPr="00CD500F">
        <w:rPr>
          <w:rFonts w:ascii="Calibri" w:hAnsi="Calibri" w:cs="Calibri"/>
          <w:sz w:val="23"/>
          <w:szCs w:val="23"/>
        </w:rPr>
        <w:t xml:space="preserve">New employers are unwilling to look past the disability and are much less concerned with the actual impairment. </w:t>
      </w:r>
    </w:p>
    <w:p w14:paraId="4DB9E8D4" w14:textId="11908EA0" w:rsidR="00CD500F" w:rsidRPr="00F30709" w:rsidRDefault="001D2D4F" w:rsidP="00F30709">
      <w:pPr>
        <w:pStyle w:val="ListParagraph"/>
        <w:numPr>
          <w:ilvl w:val="0"/>
          <w:numId w:val="7"/>
        </w:numPr>
        <w:jc w:val="both"/>
        <w:rPr>
          <w:rFonts w:ascii="Calibri" w:hAnsi="Calibri" w:cs="Calibri"/>
          <w:sz w:val="23"/>
          <w:szCs w:val="23"/>
        </w:rPr>
      </w:pPr>
      <w:r w:rsidRPr="00F30709">
        <w:rPr>
          <w:rFonts w:ascii="Calibri" w:hAnsi="Calibri" w:cs="Calibri"/>
          <w:sz w:val="23"/>
          <w:szCs w:val="23"/>
        </w:rPr>
        <w:lastRenderedPageBreak/>
        <w:t>I</w:t>
      </w:r>
      <w:r w:rsidR="00CD500F" w:rsidRPr="00F30709">
        <w:rPr>
          <w:rFonts w:ascii="Calibri" w:hAnsi="Calibri" w:cs="Calibri"/>
          <w:sz w:val="23"/>
          <w:szCs w:val="23"/>
        </w:rPr>
        <w:t xml:space="preserve">nterpolation using a mid-point between the disabled and non-disabled reduction factors is not advised (as the HC did in </w:t>
      </w:r>
      <w:r w:rsidR="00CD500F" w:rsidRPr="00F30709">
        <w:rPr>
          <w:rFonts w:ascii="Calibri" w:hAnsi="Calibri" w:cs="Calibri"/>
          <w:b/>
          <w:bCs/>
          <w:sz w:val="23"/>
          <w:szCs w:val="23"/>
        </w:rPr>
        <w:t>Sharma v Noon Products</w:t>
      </w:r>
      <w:r w:rsidR="00CD500F" w:rsidRPr="00CD500F">
        <w:rPr>
          <w:rStyle w:val="FootnoteReference"/>
          <w:rFonts w:ascii="Calibri" w:hAnsi="Calibri" w:cs="Calibri"/>
          <w:b/>
          <w:bCs/>
          <w:sz w:val="23"/>
          <w:szCs w:val="23"/>
        </w:rPr>
        <w:footnoteReference w:id="2"/>
      </w:r>
      <w:r w:rsidR="00CD500F" w:rsidRPr="00F30709">
        <w:rPr>
          <w:rFonts w:ascii="Calibri" w:hAnsi="Calibri" w:cs="Calibri"/>
          <w:sz w:val="23"/>
          <w:szCs w:val="23"/>
        </w:rPr>
        <w:t xml:space="preserve"> in 2011)</w:t>
      </w:r>
      <w:r w:rsidRPr="00F30709">
        <w:rPr>
          <w:rFonts w:ascii="Calibri" w:hAnsi="Calibri" w:cs="Calibri"/>
          <w:sz w:val="23"/>
          <w:szCs w:val="23"/>
        </w:rPr>
        <w:t>. T</w:t>
      </w:r>
      <w:r w:rsidR="00CD500F" w:rsidRPr="00F30709">
        <w:rPr>
          <w:rFonts w:ascii="Calibri" w:hAnsi="Calibri" w:cs="Calibri"/>
          <w:sz w:val="23"/>
          <w:szCs w:val="23"/>
        </w:rPr>
        <w:t xml:space="preserve">hat is too great a departure and Dr Wass </w:t>
      </w:r>
      <w:proofErr w:type="gramStart"/>
      <w:r w:rsidR="00CD500F" w:rsidRPr="00F30709">
        <w:rPr>
          <w:rFonts w:ascii="Calibri" w:hAnsi="Calibri" w:cs="Calibri"/>
          <w:sz w:val="23"/>
          <w:szCs w:val="23"/>
        </w:rPr>
        <w:t>suggests</w:t>
      </w:r>
      <w:proofErr w:type="gramEnd"/>
      <w:r w:rsidR="00CD500F" w:rsidRPr="00F30709">
        <w:rPr>
          <w:rFonts w:ascii="Calibri" w:hAnsi="Calibri" w:cs="Calibri"/>
          <w:sz w:val="23"/>
          <w:szCs w:val="23"/>
        </w:rPr>
        <w:t xml:space="preserve"> you look at her guidance on how to approach that issue</w:t>
      </w:r>
      <w:r w:rsidR="00CD500F" w:rsidRPr="00CD500F">
        <w:rPr>
          <w:rStyle w:val="FootnoteReference"/>
          <w:rFonts w:ascii="Calibri" w:hAnsi="Calibri" w:cs="Calibri"/>
          <w:sz w:val="23"/>
          <w:szCs w:val="23"/>
        </w:rPr>
        <w:footnoteReference w:id="3"/>
      </w:r>
      <w:r w:rsidR="00CD500F" w:rsidRPr="00F30709">
        <w:rPr>
          <w:rFonts w:ascii="Calibri" w:hAnsi="Calibri" w:cs="Calibri"/>
          <w:sz w:val="23"/>
          <w:szCs w:val="23"/>
        </w:rPr>
        <w:t xml:space="preserve">. </w:t>
      </w:r>
    </w:p>
    <w:p w14:paraId="04742280" w14:textId="03C63C67" w:rsidR="00CD500F" w:rsidRDefault="001D2D4F" w:rsidP="002175EF">
      <w:pPr>
        <w:pStyle w:val="ListParagraph"/>
        <w:numPr>
          <w:ilvl w:val="0"/>
          <w:numId w:val="7"/>
        </w:numPr>
        <w:jc w:val="both"/>
        <w:rPr>
          <w:rFonts w:ascii="Calibri" w:hAnsi="Calibri" w:cs="Calibri"/>
          <w:sz w:val="23"/>
          <w:szCs w:val="23"/>
        </w:rPr>
      </w:pPr>
      <w:r>
        <w:rPr>
          <w:rFonts w:ascii="Calibri" w:hAnsi="Calibri" w:cs="Calibri"/>
          <w:sz w:val="23"/>
          <w:szCs w:val="23"/>
        </w:rPr>
        <w:t xml:space="preserve">In </w:t>
      </w:r>
      <w:r w:rsidR="00CD500F" w:rsidRPr="00CD500F">
        <w:rPr>
          <w:rFonts w:ascii="Calibri" w:hAnsi="Calibri" w:cs="Calibri"/>
          <w:sz w:val="23"/>
          <w:szCs w:val="23"/>
        </w:rPr>
        <w:t xml:space="preserve">some </w:t>
      </w:r>
      <w:r w:rsidRPr="00CD500F">
        <w:rPr>
          <w:rFonts w:ascii="Calibri" w:hAnsi="Calibri" w:cs="Calibri"/>
          <w:sz w:val="23"/>
          <w:szCs w:val="23"/>
        </w:rPr>
        <w:t>cases,</w:t>
      </w:r>
      <w:r w:rsidR="00CD500F" w:rsidRPr="00CD500F">
        <w:rPr>
          <w:rFonts w:ascii="Calibri" w:hAnsi="Calibri" w:cs="Calibri"/>
          <w:sz w:val="23"/>
          <w:szCs w:val="23"/>
        </w:rPr>
        <w:t xml:space="preserve"> it may be helpful to consult expert opinion.  Expert opinion may also be required to advise upon how the suggested reduction factors should be applied and/or adjusted when the claimant was already disabled at the time of the injury</w:t>
      </w:r>
      <w:r w:rsidR="00CD500F">
        <w:rPr>
          <w:rFonts w:ascii="Calibri" w:hAnsi="Calibri" w:cs="Calibri"/>
          <w:sz w:val="23"/>
          <w:szCs w:val="23"/>
        </w:rPr>
        <w:t>.</w:t>
      </w:r>
    </w:p>
    <w:p w14:paraId="60E6079E" w14:textId="62D28979" w:rsidR="00CD500F" w:rsidRPr="00CD500F" w:rsidRDefault="00CD500F" w:rsidP="002175EF">
      <w:pPr>
        <w:pStyle w:val="ListParagraph"/>
        <w:numPr>
          <w:ilvl w:val="0"/>
          <w:numId w:val="7"/>
        </w:numPr>
        <w:jc w:val="both"/>
        <w:rPr>
          <w:rFonts w:ascii="Calibri" w:hAnsi="Calibri" w:cs="Calibri"/>
          <w:sz w:val="23"/>
          <w:szCs w:val="23"/>
        </w:rPr>
      </w:pPr>
      <w:r w:rsidRPr="00CD500F">
        <w:rPr>
          <w:rFonts w:ascii="Calibri" w:hAnsi="Calibri" w:cs="Calibri"/>
          <w:sz w:val="23"/>
          <w:szCs w:val="23"/>
        </w:rPr>
        <w:t>Injury causing disability (as defined above) has two separate and</w:t>
      </w:r>
      <w:r>
        <w:rPr>
          <w:rFonts w:ascii="Calibri" w:hAnsi="Calibri" w:cs="Calibri"/>
          <w:sz w:val="23"/>
          <w:szCs w:val="23"/>
        </w:rPr>
        <w:t xml:space="preserve"> </w:t>
      </w:r>
      <w:r w:rsidRPr="00CD500F">
        <w:rPr>
          <w:rFonts w:ascii="Calibri" w:hAnsi="Calibri" w:cs="Calibri"/>
          <w:sz w:val="23"/>
          <w:szCs w:val="23"/>
        </w:rPr>
        <w:t>distinct effects:</w:t>
      </w:r>
    </w:p>
    <w:p w14:paraId="13EC7BE1" w14:textId="4D75D83E" w:rsidR="00CD500F" w:rsidRPr="00CD500F" w:rsidRDefault="00CD500F" w:rsidP="002175EF">
      <w:pPr>
        <w:pStyle w:val="ListParagraph"/>
        <w:numPr>
          <w:ilvl w:val="0"/>
          <w:numId w:val="8"/>
        </w:numPr>
        <w:jc w:val="both"/>
        <w:rPr>
          <w:rFonts w:ascii="Calibri" w:hAnsi="Calibri" w:cs="Calibri"/>
          <w:sz w:val="23"/>
          <w:szCs w:val="23"/>
        </w:rPr>
      </w:pPr>
      <w:r w:rsidRPr="001D2D4F">
        <w:rPr>
          <w:rFonts w:ascii="Calibri" w:hAnsi="Calibri" w:cs="Calibri"/>
          <w:b/>
          <w:bCs/>
          <w:sz w:val="23"/>
          <w:szCs w:val="23"/>
        </w:rPr>
        <w:t>The wage effect</w:t>
      </w:r>
      <w:r>
        <w:rPr>
          <w:rFonts w:ascii="Calibri" w:hAnsi="Calibri" w:cs="Calibri"/>
          <w:sz w:val="23"/>
          <w:szCs w:val="23"/>
        </w:rPr>
        <w:t xml:space="preserve"> </w:t>
      </w:r>
      <w:r w:rsidRPr="00CD500F">
        <w:rPr>
          <w:rFonts w:ascii="Calibri" w:hAnsi="Calibri" w:cs="Calibri"/>
          <w:sz w:val="23"/>
          <w:szCs w:val="23"/>
        </w:rPr>
        <w:t>is the reduction in earnings caused by injury,</w:t>
      </w:r>
      <w:r>
        <w:rPr>
          <w:rFonts w:ascii="Calibri" w:hAnsi="Calibri" w:cs="Calibri"/>
          <w:sz w:val="23"/>
          <w:szCs w:val="23"/>
        </w:rPr>
        <w:t xml:space="preserve"> </w:t>
      </w:r>
      <w:r w:rsidRPr="00CD500F">
        <w:rPr>
          <w:rFonts w:ascii="Calibri" w:hAnsi="Calibri" w:cs="Calibri"/>
          <w:sz w:val="23"/>
          <w:szCs w:val="23"/>
        </w:rPr>
        <w:t xml:space="preserve">which may result from changing role, working less hours or missing out on promotions.  Changes in multiplicand account for and reflect that. </w:t>
      </w:r>
    </w:p>
    <w:p w14:paraId="467E347F" w14:textId="3C557131" w:rsidR="00CD500F" w:rsidRPr="00CD500F" w:rsidRDefault="00CD500F" w:rsidP="002175EF">
      <w:pPr>
        <w:pStyle w:val="ListParagraph"/>
        <w:numPr>
          <w:ilvl w:val="0"/>
          <w:numId w:val="8"/>
        </w:numPr>
        <w:jc w:val="both"/>
        <w:rPr>
          <w:rFonts w:ascii="Calibri" w:hAnsi="Calibri" w:cs="Calibri"/>
          <w:sz w:val="23"/>
          <w:szCs w:val="23"/>
        </w:rPr>
      </w:pPr>
      <w:r w:rsidRPr="001D2D4F">
        <w:rPr>
          <w:rFonts w:ascii="Calibri" w:hAnsi="Calibri" w:cs="Calibri"/>
          <w:b/>
          <w:bCs/>
          <w:sz w:val="23"/>
          <w:szCs w:val="23"/>
        </w:rPr>
        <w:t>The employment effect</w:t>
      </w:r>
      <w:r w:rsidRPr="00CD500F">
        <w:rPr>
          <w:rFonts w:ascii="Calibri" w:hAnsi="Calibri" w:cs="Calibri"/>
          <w:sz w:val="23"/>
          <w:szCs w:val="23"/>
        </w:rPr>
        <w:t xml:space="preserve"> is the impact of the person’s disability on their long-term employment prospects. </w:t>
      </w:r>
    </w:p>
    <w:p w14:paraId="16382F3F" w14:textId="6540A434" w:rsidR="00CD500F" w:rsidRDefault="00CD500F" w:rsidP="002175EF">
      <w:pPr>
        <w:pStyle w:val="ListParagraph"/>
        <w:numPr>
          <w:ilvl w:val="0"/>
          <w:numId w:val="9"/>
        </w:numPr>
        <w:ind w:left="709"/>
        <w:jc w:val="both"/>
        <w:rPr>
          <w:rFonts w:ascii="Calibri" w:hAnsi="Calibri" w:cs="Calibri"/>
          <w:sz w:val="23"/>
          <w:szCs w:val="23"/>
        </w:rPr>
      </w:pPr>
      <w:r w:rsidRPr="00CD500F">
        <w:rPr>
          <w:rFonts w:ascii="Calibri" w:hAnsi="Calibri" w:cs="Calibri"/>
          <w:sz w:val="23"/>
          <w:szCs w:val="23"/>
        </w:rPr>
        <w:t>In particular, disability is known to increase job search periods, cause longer periods out of work and is associated with a greater risk of early retirement.   See</w:t>
      </w:r>
      <w:r w:rsidR="001D2D4F">
        <w:rPr>
          <w:rFonts w:ascii="Calibri" w:hAnsi="Calibri" w:cs="Calibri"/>
          <w:sz w:val="23"/>
          <w:szCs w:val="23"/>
        </w:rPr>
        <w:t>,</w:t>
      </w:r>
      <w:r w:rsidRPr="00CD500F">
        <w:rPr>
          <w:rFonts w:ascii="Calibri" w:hAnsi="Calibri" w:cs="Calibri"/>
          <w:sz w:val="23"/>
          <w:szCs w:val="23"/>
        </w:rPr>
        <w:t xml:space="preserve"> for example the very substantial impact disability has on the reduction factor if</w:t>
      </w:r>
      <w:r w:rsidR="001D2D4F">
        <w:rPr>
          <w:rFonts w:ascii="Calibri" w:hAnsi="Calibri" w:cs="Calibri"/>
          <w:sz w:val="23"/>
          <w:szCs w:val="23"/>
        </w:rPr>
        <w:t>,</w:t>
      </w:r>
      <w:r w:rsidRPr="00CD500F">
        <w:rPr>
          <w:rFonts w:ascii="Calibri" w:hAnsi="Calibri" w:cs="Calibri"/>
          <w:sz w:val="23"/>
          <w:szCs w:val="23"/>
        </w:rPr>
        <w:t xml:space="preserve"> at the time of calculation</w:t>
      </w:r>
      <w:r w:rsidR="001D2D4F">
        <w:rPr>
          <w:rFonts w:ascii="Calibri" w:hAnsi="Calibri" w:cs="Calibri"/>
          <w:sz w:val="23"/>
          <w:szCs w:val="23"/>
        </w:rPr>
        <w:t xml:space="preserve">, </w:t>
      </w:r>
      <w:r w:rsidRPr="00CD500F">
        <w:rPr>
          <w:rFonts w:ascii="Calibri" w:hAnsi="Calibri" w:cs="Calibri"/>
          <w:sz w:val="23"/>
          <w:szCs w:val="23"/>
        </w:rPr>
        <w:t xml:space="preserve">the disabled person is unemployed and looked for work, as opposed to being employed. </w:t>
      </w:r>
    </w:p>
    <w:p w14:paraId="56F16CA2" w14:textId="263D619E" w:rsidR="00FD7E83" w:rsidRPr="00EF2F4E" w:rsidRDefault="00CD500F" w:rsidP="002175EF">
      <w:pPr>
        <w:pStyle w:val="ListParagraph"/>
        <w:numPr>
          <w:ilvl w:val="0"/>
          <w:numId w:val="9"/>
        </w:numPr>
        <w:ind w:left="709"/>
        <w:jc w:val="both"/>
        <w:rPr>
          <w:rFonts w:ascii="Calibri" w:hAnsi="Calibri" w:cs="Calibri"/>
          <w:sz w:val="23"/>
          <w:szCs w:val="23"/>
        </w:rPr>
      </w:pPr>
      <w:r w:rsidRPr="00CD500F">
        <w:rPr>
          <w:rFonts w:ascii="Calibri" w:hAnsi="Calibri" w:cs="Calibri"/>
          <w:sz w:val="23"/>
          <w:szCs w:val="23"/>
        </w:rPr>
        <w:t>It is a mistake to conflate these two separate and distinct effects</w:t>
      </w:r>
      <w:r>
        <w:rPr>
          <w:rFonts w:ascii="Calibri" w:hAnsi="Calibri" w:cs="Calibri"/>
          <w:sz w:val="23"/>
          <w:szCs w:val="23"/>
        </w:rPr>
        <w:t>.</w:t>
      </w:r>
    </w:p>
    <w:p w14:paraId="14EEDAFB" w14:textId="77777777" w:rsidR="00EF2F4E" w:rsidRDefault="00EF2F4E" w:rsidP="001D2D4F">
      <w:pPr>
        <w:jc w:val="both"/>
        <w:rPr>
          <w:rFonts w:ascii="Calibri" w:hAnsi="Calibri" w:cs="Calibri"/>
          <w:b/>
          <w:bCs/>
          <w:color w:val="000000" w:themeColor="text1"/>
          <w:sz w:val="23"/>
          <w:szCs w:val="23"/>
          <w:u w:val="single"/>
        </w:rPr>
      </w:pPr>
    </w:p>
    <w:p w14:paraId="12AA3611" w14:textId="1BD6A7C4" w:rsidR="00FD7E83" w:rsidRPr="00CD500F" w:rsidRDefault="00FD7E83" w:rsidP="001D2D4F">
      <w:pPr>
        <w:jc w:val="both"/>
        <w:rPr>
          <w:rFonts w:ascii="Calibri" w:hAnsi="Calibri" w:cs="Calibri"/>
          <w:b/>
          <w:bCs/>
          <w:color w:val="000000" w:themeColor="text1"/>
          <w:sz w:val="23"/>
          <w:szCs w:val="23"/>
          <w:u w:val="single"/>
        </w:rPr>
      </w:pPr>
      <w:r w:rsidRPr="00CD500F">
        <w:rPr>
          <w:rFonts w:ascii="Calibri" w:hAnsi="Calibri" w:cs="Calibri"/>
          <w:b/>
          <w:bCs/>
          <w:color w:val="000000" w:themeColor="text1"/>
          <w:sz w:val="23"/>
          <w:szCs w:val="23"/>
          <w:u w:val="single"/>
        </w:rPr>
        <w:t>Tables A to D: Employment and Education</w:t>
      </w:r>
    </w:p>
    <w:p w14:paraId="00A57F2A" w14:textId="337AD3CC" w:rsidR="00F866C9" w:rsidRPr="00CD500F" w:rsidRDefault="00F866C9" w:rsidP="002175EF">
      <w:pPr>
        <w:pStyle w:val="ListParagraph"/>
        <w:numPr>
          <w:ilvl w:val="0"/>
          <w:numId w:val="2"/>
        </w:numPr>
        <w:jc w:val="both"/>
        <w:rPr>
          <w:rFonts w:ascii="Calibri" w:hAnsi="Calibri" w:cs="Calibri"/>
          <w:b/>
          <w:bCs/>
          <w:color w:val="000000" w:themeColor="text1"/>
          <w:sz w:val="23"/>
          <w:szCs w:val="23"/>
        </w:rPr>
      </w:pPr>
      <w:r w:rsidRPr="00CD500F">
        <w:rPr>
          <w:rFonts w:ascii="Calibri" w:hAnsi="Calibri" w:cs="Calibri"/>
          <w:color w:val="000000" w:themeColor="text1"/>
          <w:sz w:val="23"/>
          <w:szCs w:val="23"/>
        </w:rPr>
        <w:t xml:space="preserve">Likely to be new battlegrounds in addition to disability.  </w:t>
      </w:r>
      <w:r w:rsidR="00940033">
        <w:rPr>
          <w:rFonts w:ascii="Calibri" w:hAnsi="Calibri" w:cs="Calibri"/>
          <w:color w:val="000000" w:themeColor="text1"/>
          <w:sz w:val="23"/>
          <w:szCs w:val="23"/>
        </w:rPr>
        <w:t>The notes</w:t>
      </w:r>
      <w:r w:rsidRPr="00CD500F">
        <w:rPr>
          <w:rFonts w:ascii="Calibri" w:hAnsi="Calibri" w:cs="Calibri"/>
          <w:color w:val="000000" w:themeColor="text1"/>
          <w:sz w:val="23"/>
          <w:szCs w:val="23"/>
        </w:rPr>
        <w:t xml:space="preserve"> give guidance</w:t>
      </w:r>
      <w:r w:rsidR="00940033">
        <w:rPr>
          <w:rFonts w:ascii="Calibri" w:hAnsi="Calibri" w:cs="Calibri"/>
          <w:color w:val="000000" w:themeColor="text1"/>
          <w:sz w:val="23"/>
          <w:szCs w:val="23"/>
        </w:rPr>
        <w:t xml:space="preserve"> on</w:t>
      </w:r>
      <w:r w:rsidRPr="00CD500F">
        <w:rPr>
          <w:rFonts w:ascii="Calibri" w:hAnsi="Calibri" w:cs="Calibri"/>
          <w:color w:val="000000" w:themeColor="text1"/>
          <w:sz w:val="23"/>
          <w:szCs w:val="23"/>
        </w:rPr>
        <w:t xml:space="preserve"> when a claimant’s circumstances may justify a departure from a certain educational level or employment status.</w:t>
      </w:r>
    </w:p>
    <w:p w14:paraId="268E6856" w14:textId="77777777" w:rsidR="00F866C9" w:rsidRPr="00CD500F" w:rsidRDefault="00F866C9" w:rsidP="002175EF">
      <w:pPr>
        <w:pStyle w:val="ListParagraph"/>
        <w:numPr>
          <w:ilvl w:val="0"/>
          <w:numId w:val="2"/>
        </w:numPr>
        <w:jc w:val="both"/>
        <w:rPr>
          <w:rFonts w:ascii="Calibri" w:hAnsi="Calibri" w:cs="Calibri"/>
          <w:b/>
          <w:bCs/>
          <w:color w:val="000000" w:themeColor="text1"/>
          <w:sz w:val="23"/>
          <w:szCs w:val="23"/>
        </w:rPr>
      </w:pPr>
      <w:r w:rsidRPr="00CD500F">
        <w:rPr>
          <w:rFonts w:ascii="Calibri" w:hAnsi="Calibri" w:cs="Calibri"/>
          <w:color w:val="000000" w:themeColor="text1"/>
          <w:sz w:val="23"/>
          <w:szCs w:val="23"/>
        </w:rPr>
        <w:t>For example, the new Levels 1, 2 and 3 to determine educational attainment:</w:t>
      </w:r>
    </w:p>
    <w:p w14:paraId="404579FE" w14:textId="6F3E8702" w:rsidR="00F866C9" w:rsidRPr="00CD500F" w:rsidRDefault="00F866C9" w:rsidP="002175EF">
      <w:pPr>
        <w:pStyle w:val="ListParagraph"/>
        <w:numPr>
          <w:ilvl w:val="1"/>
          <w:numId w:val="2"/>
        </w:numPr>
        <w:jc w:val="both"/>
        <w:rPr>
          <w:rFonts w:ascii="Calibri" w:hAnsi="Calibri" w:cs="Calibri"/>
          <w:b/>
          <w:bCs/>
          <w:color w:val="000000" w:themeColor="text1"/>
          <w:sz w:val="23"/>
          <w:szCs w:val="23"/>
        </w:rPr>
      </w:pPr>
      <w:r w:rsidRPr="00CD500F">
        <w:rPr>
          <w:rFonts w:ascii="Calibri" w:hAnsi="Calibri" w:cs="Calibri"/>
          <w:color w:val="000000" w:themeColor="text1"/>
          <w:sz w:val="23"/>
          <w:szCs w:val="23"/>
        </w:rPr>
        <w:t xml:space="preserve">Cheryl Cole, left school at 16 with no GCSEs to become a pop star. Is she really Level </w:t>
      </w:r>
      <w:r w:rsidR="00CD500F">
        <w:rPr>
          <w:rFonts w:ascii="Calibri" w:hAnsi="Calibri" w:cs="Calibri"/>
          <w:color w:val="000000" w:themeColor="text1"/>
          <w:sz w:val="23"/>
          <w:szCs w:val="23"/>
        </w:rPr>
        <w:t>1</w:t>
      </w:r>
      <w:r w:rsidRPr="00CD500F">
        <w:rPr>
          <w:rFonts w:ascii="Calibri" w:hAnsi="Calibri" w:cs="Calibri"/>
          <w:color w:val="000000" w:themeColor="text1"/>
          <w:sz w:val="23"/>
          <w:szCs w:val="23"/>
        </w:rPr>
        <w:t xml:space="preserve"> or perhaps better represented by a higher educational category?</w:t>
      </w:r>
    </w:p>
    <w:p w14:paraId="4465DB71" w14:textId="681D0A10" w:rsidR="00F866C9" w:rsidRPr="00CD500F" w:rsidRDefault="00F866C9" w:rsidP="002175EF">
      <w:pPr>
        <w:pStyle w:val="ListParagraph"/>
        <w:numPr>
          <w:ilvl w:val="1"/>
          <w:numId w:val="2"/>
        </w:numPr>
        <w:jc w:val="both"/>
        <w:rPr>
          <w:rFonts w:ascii="Calibri" w:hAnsi="Calibri" w:cs="Calibri"/>
          <w:b/>
          <w:bCs/>
          <w:color w:val="000000" w:themeColor="text1"/>
          <w:sz w:val="23"/>
          <w:szCs w:val="23"/>
        </w:rPr>
      </w:pPr>
      <w:r w:rsidRPr="00CD500F">
        <w:rPr>
          <w:rFonts w:ascii="Calibri" w:hAnsi="Calibri" w:cs="Calibri"/>
          <w:color w:val="000000" w:themeColor="text1"/>
          <w:sz w:val="23"/>
          <w:szCs w:val="23"/>
        </w:rPr>
        <w:t xml:space="preserve">Kevin and Perry, 5 GCSEs each, with a C in PE, the rest were Es and Fs.  Might their educational status be really Level </w:t>
      </w:r>
      <w:r w:rsidR="00CD500F">
        <w:rPr>
          <w:rFonts w:ascii="Calibri" w:hAnsi="Calibri" w:cs="Calibri"/>
          <w:color w:val="000000" w:themeColor="text1"/>
          <w:sz w:val="23"/>
          <w:szCs w:val="23"/>
        </w:rPr>
        <w:t>1</w:t>
      </w:r>
      <w:r w:rsidRPr="00CD500F">
        <w:rPr>
          <w:rFonts w:ascii="Calibri" w:hAnsi="Calibri" w:cs="Calibri"/>
          <w:color w:val="000000" w:themeColor="text1"/>
          <w:sz w:val="23"/>
          <w:szCs w:val="23"/>
        </w:rPr>
        <w:t xml:space="preserve"> educational category </w:t>
      </w:r>
      <w:r w:rsidR="00CD500F">
        <w:rPr>
          <w:rFonts w:ascii="Calibri" w:hAnsi="Calibri" w:cs="Calibri"/>
          <w:color w:val="000000" w:themeColor="text1"/>
          <w:sz w:val="23"/>
          <w:szCs w:val="23"/>
        </w:rPr>
        <w:t xml:space="preserve">rather </w:t>
      </w:r>
      <w:r w:rsidRPr="00CD500F">
        <w:rPr>
          <w:rFonts w:ascii="Calibri" w:hAnsi="Calibri" w:cs="Calibri"/>
          <w:color w:val="000000" w:themeColor="text1"/>
          <w:sz w:val="23"/>
          <w:szCs w:val="23"/>
        </w:rPr>
        <w:t>than Level 2?</w:t>
      </w:r>
    </w:p>
    <w:p w14:paraId="12A0538C" w14:textId="5B00C277" w:rsidR="00F866C9" w:rsidRPr="00CD500F" w:rsidRDefault="00F866C9" w:rsidP="002175EF">
      <w:pPr>
        <w:pStyle w:val="ListParagraph"/>
        <w:numPr>
          <w:ilvl w:val="1"/>
          <w:numId w:val="2"/>
        </w:numPr>
        <w:jc w:val="both"/>
        <w:rPr>
          <w:rFonts w:ascii="Calibri" w:hAnsi="Calibri" w:cs="Calibri"/>
          <w:b/>
          <w:bCs/>
          <w:color w:val="000000" w:themeColor="text1"/>
          <w:sz w:val="23"/>
          <w:szCs w:val="23"/>
        </w:rPr>
      </w:pPr>
      <w:r w:rsidRPr="00CD500F">
        <w:rPr>
          <w:rFonts w:ascii="Calibri" w:hAnsi="Calibri" w:cs="Calibri"/>
          <w:color w:val="000000" w:themeColor="text1"/>
          <w:sz w:val="23"/>
          <w:szCs w:val="23"/>
        </w:rPr>
        <w:t xml:space="preserve">An injured nurse with residual earning capacity in a basic clerical role.  </w:t>
      </w:r>
      <w:r w:rsidR="00B25F99" w:rsidRPr="00CD500F">
        <w:rPr>
          <w:rFonts w:ascii="Calibri" w:hAnsi="Calibri" w:cs="Calibri"/>
          <w:color w:val="000000" w:themeColor="text1"/>
          <w:sz w:val="23"/>
          <w:szCs w:val="23"/>
        </w:rPr>
        <w:t>M</w:t>
      </w:r>
      <w:r w:rsidRPr="00CD500F">
        <w:rPr>
          <w:rFonts w:ascii="Calibri" w:hAnsi="Calibri" w:cs="Calibri"/>
          <w:color w:val="000000" w:themeColor="text1"/>
          <w:sz w:val="23"/>
          <w:szCs w:val="23"/>
        </w:rPr>
        <w:t xml:space="preserve">aybe her residual earnings should be calculated on a lower educational status? </w:t>
      </w:r>
    </w:p>
    <w:p w14:paraId="6A3C4E22" w14:textId="55C894BB" w:rsidR="00F866C9" w:rsidRPr="00CD500F" w:rsidRDefault="00B25F99" w:rsidP="002175EF">
      <w:pPr>
        <w:pStyle w:val="ListParagraph"/>
        <w:numPr>
          <w:ilvl w:val="0"/>
          <w:numId w:val="2"/>
        </w:numPr>
        <w:jc w:val="both"/>
        <w:rPr>
          <w:rFonts w:ascii="Calibri" w:hAnsi="Calibri" w:cs="Calibri"/>
          <w:b/>
          <w:bCs/>
          <w:color w:val="000000" w:themeColor="text1"/>
          <w:sz w:val="23"/>
          <w:szCs w:val="23"/>
        </w:rPr>
      </w:pPr>
      <w:r w:rsidRPr="00CD500F">
        <w:rPr>
          <w:rFonts w:ascii="Calibri" w:hAnsi="Calibri" w:cs="Calibri"/>
          <w:color w:val="000000" w:themeColor="text1"/>
          <w:sz w:val="23"/>
          <w:szCs w:val="23"/>
        </w:rPr>
        <w:t xml:space="preserve">Guidance suggests that a change of employment status around the date of the injury/the date of the trial may require a departure from a strict application of the employed/not employed status.   </w:t>
      </w:r>
    </w:p>
    <w:p w14:paraId="284EA38E" w14:textId="72380423" w:rsidR="00F866C9" w:rsidRPr="00CD500F" w:rsidRDefault="00B25F99" w:rsidP="002175EF">
      <w:pPr>
        <w:pStyle w:val="ListParagraph"/>
        <w:numPr>
          <w:ilvl w:val="0"/>
          <w:numId w:val="2"/>
        </w:numPr>
        <w:jc w:val="both"/>
        <w:rPr>
          <w:rFonts w:ascii="Calibri" w:hAnsi="Calibri" w:cs="Calibri"/>
          <w:b/>
          <w:bCs/>
          <w:color w:val="000000" w:themeColor="text1"/>
          <w:sz w:val="23"/>
          <w:szCs w:val="23"/>
        </w:rPr>
      </w:pPr>
      <w:r w:rsidRPr="00CD500F">
        <w:rPr>
          <w:rFonts w:ascii="Calibri" w:hAnsi="Calibri" w:cs="Calibri"/>
          <w:color w:val="000000" w:themeColor="text1"/>
          <w:sz w:val="23"/>
          <w:szCs w:val="23"/>
        </w:rPr>
        <w:t xml:space="preserve">Also, taking into account employment risks – </w:t>
      </w:r>
      <w:r w:rsidR="00CD500F" w:rsidRPr="00CD500F">
        <w:rPr>
          <w:rFonts w:ascii="Calibri" w:hAnsi="Calibri" w:cs="Calibri"/>
          <w:color w:val="000000" w:themeColor="text1"/>
          <w:sz w:val="23"/>
          <w:szCs w:val="23"/>
        </w:rPr>
        <w:t>i.e.</w:t>
      </w:r>
      <w:r w:rsidRPr="00CD500F">
        <w:rPr>
          <w:rFonts w:ascii="Calibri" w:hAnsi="Calibri" w:cs="Calibri"/>
          <w:color w:val="000000" w:themeColor="text1"/>
          <w:sz w:val="23"/>
          <w:szCs w:val="23"/>
        </w:rPr>
        <w:t xml:space="preserve"> family firms, or on the other hand </w:t>
      </w:r>
      <w:r w:rsidR="00940033">
        <w:rPr>
          <w:rFonts w:ascii="Calibri" w:hAnsi="Calibri" w:cs="Calibri"/>
          <w:color w:val="000000" w:themeColor="text1"/>
          <w:sz w:val="23"/>
          <w:szCs w:val="23"/>
        </w:rPr>
        <w:t xml:space="preserve">a </w:t>
      </w:r>
      <w:r w:rsidRPr="00CD500F">
        <w:rPr>
          <w:rFonts w:ascii="Calibri" w:hAnsi="Calibri" w:cs="Calibri"/>
          <w:color w:val="000000" w:themeColor="text1"/>
          <w:sz w:val="23"/>
          <w:szCs w:val="23"/>
        </w:rPr>
        <w:t xml:space="preserve">chequered employment history.  </w:t>
      </w:r>
    </w:p>
    <w:p w14:paraId="5FAEABBD" w14:textId="77777777" w:rsidR="00EF2F4E" w:rsidRDefault="00EF2F4E" w:rsidP="001D2D4F">
      <w:pPr>
        <w:jc w:val="both"/>
        <w:rPr>
          <w:rFonts w:ascii="Calibri" w:hAnsi="Calibri" w:cs="Calibri"/>
          <w:b/>
          <w:bCs/>
          <w:color w:val="000000" w:themeColor="text1"/>
          <w:sz w:val="23"/>
          <w:szCs w:val="23"/>
          <w:u w:val="single"/>
        </w:rPr>
      </w:pPr>
    </w:p>
    <w:p w14:paraId="7FB68DB0" w14:textId="77777777" w:rsidR="006A61E4" w:rsidRDefault="006A61E4" w:rsidP="001D2D4F">
      <w:pPr>
        <w:jc w:val="both"/>
        <w:rPr>
          <w:rFonts w:ascii="Calibri" w:hAnsi="Calibri" w:cs="Calibri"/>
          <w:b/>
          <w:bCs/>
          <w:color w:val="000000" w:themeColor="text1"/>
          <w:sz w:val="23"/>
          <w:szCs w:val="23"/>
          <w:u w:val="single"/>
        </w:rPr>
      </w:pPr>
    </w:p>
    <w:p w14:paraId="0DA6A781" w14:textId="77777777" w:rsidR="006A61E4" w:rsidRDefault="006A61E4" w:rsidP="001D2D4F">
      <w:pPr>
        <w:jc w:val="both"/>
        <w:rPr>
          <w:rFonts w:ascii="Calibri" w:hAnsi="Calibri" w:cs="Calibri"/>
          <w:b/>
          <w:bCs/>
          <w:color w:val="000000" w:themeColor="text1"/>
          <w:sz w:val="23"/>
          <w:szCs w:val="23"/>
          <w:u w:val="single"/>
        </w:rPr>
      </w:pPr>
    </w:p>
    <w:p w14:paraId="1FAC0965" w14:textId="0072142D" w:rsidR="00FD7E83" w:rsidRPr="00CD500F" w:rsidRDefault="00FD7E83" w:rsidP="001D2D4F">
      <w:pPr>
        <w:jc w:val="both"/>
        <w:rPr>
          <w:rFonts w:ascii="Calibri" w:hAnsi="Calibri" w:cs="Calibri"/>
          <w:b/>
          <w:bCs/>
          <w:color w:val="000000" w:themeColor="text1"/>
          <w:sz w:val="23"/>
          <w:szCs w:val="23"/>
          <w:u w:val="single"/>
        </w:rPr>
      </w:pPr>
      <w:r w:rsidRPr="00CD500F">
        <w:rPr>
          <w:rFonts w:ascii="Calibri" w:hAnsi="Calibri" w:cs="Calibri"/>
          <w:b/>
          <w:bCs/>
          <w:color w:val="000000" w:themeColor="text1"/>
          <w:sz w:val="23"/>
          <w:szCs w:val="23"/>
          <w:u w:val="single"/>
        </w:rPr>
        <w:lastRenderedPageBreak/>
        <w:t>Pension Loss</w:t>
      </w:r>
    </w:p>
    <w:p w14:paraId="32E79C4F" w14:textId="2FDA56EF" w:rsidR="00FD7E83" w:rsidRDefault="00940033" w:rsidP="001D2D4F">
      <w:pPr>
        <w:jc w:val="both"/>
        <w:rPr>
          <w:rFonts w:ascii="Calibri" w:hAnsi="Calibri" w:cs="Calibri"/>
          <w:color w:val="000000" w:themeColor="text1"/>
          <w:sz w:val="23"/>
          <w:szCs w:val="23"/>
        </w:rPr>
      </w:pPr>
      <w:r>
        <w:rPr>
          <w:rFonts w:ascii="Calibri" w:hAnsi="Calibri" w:cs="Calibri"/>
          <w:color w:val="000000" w:themeColor="text1"/>
          <w:sz w:val="23"/>
          <w:szCs w:val="23"/>
        </w:rPr>
        <w:t>The explanatory notes to Ogden 8 (p.42-46) are well worth a read, even if you feel comfortable grappling with pension loss calculations and especially if you don’t. These have been comprehensively re-written and now contain a helpful section:</w:t>
      </w:r>
    </w:p>
    <w:p w14:paraId="6645E61D" w14:textId="34A4F08F" w:rsidR="00940033" w:rsidRDefault="00940033" w:rsidP="002175EF">
      <w:pPr>
        <w:pStyle w:val="ListParagraph"/>
        <w:numPr>
          <w:ilvl w:val="0"/>
          <w:numId w:val="10"/>
        </w:numPr>
        <w:jc w:val="both"/>
        <w:rPr>
          <w:rFonts w:ascii="Calibri" w:hAnsi="Calibri" w:cs="Calibri"/>
          <w:color w:val="000000" w:themeColor="text1"/>
          <w:sz w:val="23"/>
          <w:szCs w:val="23"/>
        </w:rPr>
      </w:pPr>
      <w:r>
        <w:rPr>
          <w:rFonts w:ascii="Calibri" w:hAnsi="Calibri" w:cs="Calibri"/>
          <w:color w:val="000000" w:themeColor="text1"/>
          <w:sz w:val="23"/>
          <w:szCs w:val="23"/>
        </w:rPr>
        <w:t xml:space="preserve">Introducing the concepts, such as what the difference is between defined benefit and defined contribution pension schemes (the 2 main categories); </w:t>
      </w:r>
    </w:p>
    <w:p w14:paraId="67CF5AA2" w14:textId="77777777" w:rsidR="00940033" w:rsidRDefault="00940033" w:rsidP="002175EF">
      <w:pPr>
        <w:pStyle w:val="ListParagraph"/>
        <w:numPr>
          <w:ilvl w:val="0"/>
          <w:numId w:val="10"/>
        </w:numPr>
        <w:jc w:val="both"/>
        <w:rPr>
          <w:rFonts w:ascii="Calibri" w:hAnsi="Calibri" w:cs="Calibri"/>
          <w:color w:val="000000" w:themeColor="text1"/>
          <w:sz w:val="23"/>
          <w:szCs w:val="23"/>
        </w:rPr>
      </w:pPr>
      <w:r>
        <w:rPr>
          <w:rFonts w:ascii="Calibri" w:hAnsi="Calibri" w:cs="Calibri"/>
          <w:color w:val="000000" w:themeColor="text1"/>
          <w:sz w:val="23"/>
          <w:szCs w:val="23"/>
        </w:rPr>
        <w:t xml:space="preserve">Setting out a summary of the law on pensions; </w:t>
      </w:r>
    </w:p>
    <w:p w14:paraId="36AD5C97" w14:textId="5D576041" w:rsidR="00940033" w:rsidRDefault="00940033" w:rsidP="002175EF">
      <w:pPr>
        <w:pStyle w:val="ListParagraph"/>
        <w:numPr>
          <w:ilvl w:val="0"/>
          <w:numId w:val="10"/>
        </w:numPr>
        <w:jc w:val="both"/>
        <w:rPr>
          <w:rFonts w:ascii="Calibri" w:hAnsi="Calibri" w:cs="Calibri"/>
          <w:color w:val="000000" w:themeColor="text1"/>
          <w:sz w:val="23"/>
          <w:szCs w:val="23"/>
        </w:rPr>
      </w:pPr>
      <w:r>
        <w:rPr>
          <w:rFonts w:ascii="Calibri" w:hAnsi="Calibri" w:cs="Calibri"/>
          <w:color w:val="000000" w:themeColor="text1"/>
          <w:sz w:val="23"/>
          <w:szCs w:val="23"/>
        </w:rPr>
        <w:t>The conventional approach to calculations (and the drawbacks, plus alternatives);</w:t>
      </w:r>
    </w:p>
    <w:p w14:paraId="729B5FFD" w14:textId="6B71092E" w:rsidR="00940033" w:rsidRPr="00D761B9" w:rsidRDefault="00940033" w:rsidP="00940033">
      <w:pPr>
        <w:pStyle w:val="ListParagraph"/>
        <w:numPr>
          <w:ilvl w:val="0"/>
          <w:numId w:val="10"/>
        </w:numPr>
        <w:jc w:val="both"/>
        <w:rPr>
          <w:rFonts w:ascii="Calibri" w:hAnsi="Calibri" w:cs="Calibri"/>
          <w:color w:val="000000" w:themeColor="text1"/>
          <w:sz w:val="23"/>
          <w:szCs w:val="23"/>
        </w:rPr>
      </w:pPr>
      <w:r>
        <w:rPr>
          <w:rFonts w:ascii="Calibri" w:hAnsi="Calibri" w:cs="Calibri"/>
          <w:color w:val="000000" w:themeColor="text1"/>
          <w:sz w:val="23"/>
          <w:szCs w:val="23"/>
        </w:rPr>
        <w:t>Helpful worked examples to take you step by step through the process.</w:t>
      </w:r>
    </w:p>
    <w:p w14:paraId="36ECDD9B" w14:textId="6832AFE2" w:rsidR="00940033" w:rsidRDefault="00940033" w:rsidP="00940033">
      <w:pPr>
        <w:jc w:val="both"/>
        <w:rPr>
          <w:rFonts w:ascii="Calibri" w:hAnsi="Calibri" w:cs="Calibri"/>
          <w:color w:val="000000" w:themeColor="text1"/>
          <w:sz w:val="23"/>
          <w:szCs w:val="23"/>
        </w:rPr>
      </w:pPr>
      <w:r>
        <w:rPr>
          <w:rFonts w:ascii="Calibri" w:hAnsi="Calibri" w:cs="Calibri"/>
          <w:color w:val="000000" w:themeColor="text1"/>
          <w:sz w:val="23"/>
          <w:szCs w:val="23"/>
        </w:rPr>
        <w:t>In terms of the actuarial tables within Ogden 8, these have been expanded to provide a wider range of ages at which a party starts drawing a pension (or would have done) to cater for the changes in the job market. Tables now span a 30</w:t>
      </w:r>
      <w:r w:rsidR="00732011">
        <w:rPr>
          <w:rFonts w:ascii="Calibri" w:hAnsi="Calibri" w:cs="Calibri"/>
          <w:color w:val="000000" w:themeColor="text1"/>
          <w:sz w:val="23"/>
          <w:szCs w:val="23"/>
        </w:rPr>
        <w:t>-</w:t>
      </w:r>
      <w:r>
        <w:rPr>
          <w:rFonts w:ascii="Calibri" w:hAnsi="Calibri" w:cs="Calibri"/>
          <w:color w:val="000000" w:themeColor="text1"/>
          <w:sz w:val="23"/>
          <w:szCs w:val="23"/>
        </w:rPr>
        <w:t>year period from pension commencing at age 50 (we can all dream) to age 80 (more likely). There are also tables from age 68 for pensions (as well as for earnings</w:t>
      </w:r>
      <w:r w:rsidR="00732011">
        <w:rPr>
          <w:rFonts w:ascii="Calibri" w:hAnsi="Calibri" w:cs="Calibri"/>
          <w:color w:val="000000" w:themeColor="text1"/>
          <w:sz w:val="23"/>
          <w:szCs w:val="23"/>
        </w:rPr>
        <w:t xml:space="preserve"> to age 68</w:t>
      </w:r>
      <w:r>
        <w:rPr>
          <w:rFonts w:ascii="Calibri" w:hAnsi="Calibri" w:cs="Calibri"/>
          <w:color w:val="000000" w:themeColor="text1"/>
          <w:sz w:val="23"/>
          <w:szCs w:val="23"/>
        </w:rPr>
        <w:t xml:space="preserve">) which avoid the need for interpolation given the </w:t>
      </w:r>
      <w:r w:rsidR="002175EF">
        <w:rPr>
          <w:rFonts w:ascii="Calibri" w:hAnsi="Calibri" w:cs="Calibri"/>
          <w:color w:val="000000" w:themeColor="text1"/>
          <w:sz w:val="23"/>
          <w:szCs w:val="23"/>
        </w:rPr>
        <w:t>gradual changes to state pension age since the last tables were released.</w:t>
      </w:r>
      <w:r w:rsidR="006A61E4">
        <w:rPr>
          <w:rFonts w:ascii="Calibri" w:hAnsi="Calibri" w:cs="Calibri"/>
          <w:color w:val="000000" w:themeColor="text1"/>
          <w:sz w:val="23"/>
          <w:szCs w:val="23"/>
        </w:rPr>
        <w:t xml:space="preserve"> </w:t>
      </w:r>
      <w:r w:rsidR="00FE6CD5">
        <w:rPr>
          <w:rFonts w:ascii="Calibri" w:hAnsi="Calibri" w:cs="Calibri"/>
          <w:color w:val="000000" w:themeColor="text1"/>
          <w:sz w:val="23"/>
          <w:szCs w:val="23"/>
        </w:rPr>
        <w:t>Overall,</w:t>
      </w:r>
      <w:r w:rsidR="006A61E4">
        <w:rPr>
          <w:rFonts w:ascii="Calibri" w:hAnsi="Calibri" w:cs="Calibri"/>
          <w:color w:val="000000" w:themeColor="text1"/>
          <w:sz w:val="23"/>
          <w:szCs w:val="23"/>
        </w:rPr>
        <w:t xml:space="preserve"> the whole thing is more user friendly and time saving.</w:t>
      </w:r>
    </w:p>
    <w:p w14:paraId="34314D83" w14:textId="77777777" w:rsidR="00940033" w:rsidRPr="00940033" w:rsidRDefault="00940033" w:rsidP="00940033">
      <w:pPr>
        <w:jc w:val="both"/>
        <w:rPr>
          <w:rFonts w:ascii="Calibri" w:hAnsi="Calibri" w:cs="Calibri"/>
          <w:color w:val="000000" w:themeColor="text1"/>
          <w:sz w:val="23"/>
          <w:szCs w:val="23"/>
        </w:rPr>
      </w:pPr>
    </w:p>
    <w:p w14:paraId="780822C0" w14:textId="337CA27E" w:rsidR="00FD7E83" w:rsidRPr="00CD500F" w:rsidRDefault="00FD7E83" w:rsidP="001D2D4F">
      <w:pPr>
        <w:jc w:val="both"/>
        <w:rPr>
          <w:rFonts w:ascii="Calibri" w:hAnsi="Calibri" w:cs="Calibri"/>
          <w:b/>
          <w:bCs/>
          <w:sz w:val="23"/>
          <w:szCs w:val="23"/>
          <w:u w:val="single"/>
        </w:rPr>
      </w:pPr>
      <w:r w:rsidRPr="00CD500F">
        <w:rPr>
          <w:rFonts w:ascii="Calibri" w:hAnsi="Calibri" w:cs="Calibri"/>
          <w:b/>
          <w:bCs/>
          <w:color w:val="000000" w:themeColor="text1"/>
          <w:sz w:val="23"/>
          <w:szCs w:val="23"/>
          <w:u w:val="single"/>
        </w:rPr>
        <w:t>Fatal Accidents</w:t>
      </w:r>
    </w:p>
    <w:p w14:paraId="6F0D76AE" w14:textId="2BF428E3" w:rsidR="00371ECF" w:rsidRDefault="003D69C5" w:rsidP="001D2D4F">
      <w:pPr>
        <w:spacing w:after="0" w:line="240" w:lineRule="auto"/>
        <w:jc w:val="both"/>
        <w:rPr>
          <w:rFonts w:ascii="Calibri" w:hAnsi="Calibri" w:cs="Calibri"/>
          <w:color w:val="000000" w:themeColor="text1"/>
          <w:sz w:val="23"/>
          <w:szCs w:val="23"/>
        </w:rPr>
      </w:pPr>
      <w:r>
        <w:rPr>
          <w:rFonts w:ascii="Calibri" w:hAnsi="Calibri" w:cs="Calibri"/>
          <w:color w:val="000000" w:themeColor="text1"/>
          <w:sz w:val="23"/>
          <w:szCs w:val="23"/>
        </w:rPr>
        <w:t xml:space="preserve">The world of fatal accidents calculations has been simplified in the years since Ogden 7, in 2011. The main change has been the decision by the Supreme Court, in 2016, to consign </w:t>
      </w:r>
      <w:r w:rsidRPr="003D69C5">
        <w:rPr>
          <w:rFonts w:ascii="Calibri" w:hAnsi="Calibri" w:cs="Calibri"/>
          <w:i/>
          <w:iCs/>
          <w:color w:val="000000" w:themeColor="text1"/>
          <w:sz w:val="23"/>
          <w:szCs w:val="23"/>
        </w:rPr>
        <w:t>Cookson v Knowles</w:t>
      </w:r>
      <w:r>
        <w:rPr>
          <w:rFonts w:ascii="Calibri" w:hAnsi="Calibri" w:cs="Calibri"/>
          <w:color w:val="000000" w:themeColor="text1"/>
          <w:sz w:val="23"/>
          <w:szCs w:val="23"/>
        </w:rPr>
        <w:t xml:space="preserve"> [1979] AC 556 and the requirement to calculate multipliers at the date of death, to history. In </w:t>
      </w:r>
      <w:r w:rsidRPr="003D69C5">
        <w:rPr>
          <w:rFonts w:ascii="Calibri" w:hAnsi="Calibri" w:cs="Calibri"/>
          <w:i/>
          <w:iCs/>
          <w:color w:val="000000" w:themeColor="text1"/>
          <w:sz w:val="23"/>
          <w:szCs w:val="23"/>
        </w:rPr>
        <w:t>Knaeur v MoJ</w:t>
      </w:r>
      <w:r>
        <w:rPr>
          <w:rFonts w:ascii="Calibri" w:hAnsi="Calibri" w:cs="Calibri"/>
          <w:color w:val="000000" w:themeColor="text1"/>
          <w:sz w:val="23"/>
          <w:szCs w:val="23"/>
        </w:rPr>
        <w:t xml:space="preserve"> [2016] UKSC 9, it aligned the approach to multipliers in fatal accident cases to that in conventional accident cases: i.e. multipliers calculated at the time of trial.</w:t>
      </w:r>
    </w:p>
    <w:p w14:paraId="50D14FE6" w14:textId="08F316AE" w:rsidR="003D69C5" w:rsidRDefault="003D69C5" w:rsidP="001D2D4F">
      <w:pPr>
        <w:spacing w:after="0" w:line="240" w:lineRule="auto"/>
        <w:jc w:val="both"/>
        <w:rPr>
          <w:rFonts w:ascii="Calibri" w:hAnsi="Calibri" w:cs="Calibri"/>
          <w:color w:val="000000" w:themeColor="text1"/>
          <w:sz w:val="23"/>
          <w:szCs w:val="23"/>
        </w:rPr>
      </w:pPr>
    </w:p>
    <w:p w14:paraId="71790E31" w14:textId="39BEFF91" w:rsidR="006904A5" w:rsidRDefault="003D69C5" w:rsidP="001D2D4F">
      <w:pPr>
        <w:spacing w:after="0" w:line="240" w:lineRule="auto"/>
        <w:jc w:val="both"/>
        <w:rPr>
          <w:rFonts w:ascii="Calibri" w:hAnsi="Calibri" w:cs="Calibri"/>
          <w:color w:val="000000" w:themeColor="text1"/>
          <w:sz w:val="23"/>
          <w:szCs w:val="23"/>
        </w:rPr>
      </w:pPr>
      <w:r>
        <w:rPr>
          <w:rFonts w:ascii="Calibri" w:hAnsi="Calibri" w:cs="Calibri"/>
          <w:color w:val="000000" w:themeColor="text1"/>
          <w:sz w:val="23"/>
          <w:szCs w:val="23"/>
        </w:rPr>
        <w:t xml:space="preserve">A re-written section in the in the explanatory notes </w:t>
      </w:r>
      <w:r w:rsidR="006904A5">
        <w:rPr>
          <w:rFonts w:ascii="Calibri" w:hAnsi="Calibri" w:cs="Calibri"/>
          <w:color w:val="000000" w:themeColor="text1"/>
          <w:sz w:val="23"/>
          <w:szCs w:val="23"/>
        </w:rPr>
        <w:t>sets out:</w:t>
      </w:r>
    </w:p>
    <w:p w14:paraId="098F16B9" w14:textId="6E403B16" w:rsidR="006904A5" w:rsidRDefault="006904A5" w:rsidP="006904A5">
      <w:pPr>
        <w:pStyle w:val="ListParagraph"/>
        <w:numPr>
          <w:ilvl w:val="0"/>
          <w:numId w:val="10"/>
        </w:numPr>
        <w:jc w:val="both"/>
        <w:rPr>
          <w:rFonts w:ascii="Calibri" w:hAnsi="Calibri" w:cs="Calibri"/>
          <w:color w:val="000000" w:themeColor="text1"/>
          <w:sz w:val="23"/>
          <w:szCs w:val="23"/>
        </w:rPr>
      </w:pPr>
      <w:r>
        <w:rPr>
          <w:rFonts w:ascii="Calibri" w:hAnsi="Calibri" w:cs="Calibri"/>
          <w:color w:val="000000" w:themeColor="text1"/>
          <w:sz w:val="23"/>
          <w:szCs w:val="23"/>
        </w:rPr>
        <w:t xml:space="preserve">A summary of the history of the law and the current position on fatal accidents; </w:t>
      </w:r>
    </w:p>
    <w:p w14:paraId="51675E65" w14:textId="3127A864" w:rsidR="006904A5" w:rsidRDefault="006904A5" w:rsidP="006904A5">
      <w:pPr>
        <w:pStyle w:val="ListParagraph"/>
        <w:numPr>
          <w:ilvl w:val="0"/>
          <w:numId w:val="10"/>
        </w:numPr>
        <w:jc w:val="both"/>
        <w:rPr>
          <w:rFonts w:ascii="Calibri" w:hAnsi="Calibri" w:cs="Calibri"/>
          <w:color w:val="000000" w:themeColor="text1"/>
          <w:sz w:val="23"/>
          <w:szCs w:val="23"/>
        </w:rPr>
      </w:pPr>
      <w:r>
        <w:rPr>
          <w:rFonts w:ascii="Calibri" w:hAnsi="Calibri" w:cs="Calibri"/>
          <w:color w:val="000000" w:themeColor="text1"/>
          <w:sz w:val="23"/>
          <w:szCs w:val="23"/>
        </w:rPr>
        <w:t>The post-Knaeur approach to calculations;</w:t>
      </w:r>
    </w:p>
    <w:p w14:paraId="5973BF4C" w14:textId="11BC6DA6" w:rsidR="006904A5" w:rsidRDefault="006904A5" w:rsidP="006904A5">
      <w:pPr>
        <w:pStyle w:val="ListParagraph"/>
        <w:numPr>
          <w:ilvl w:val="0"/>
          <w:numId w:val="10"/>
        </w:numPr>
        <w:jc w:val="both"/>
        <w:rPr>
          <w:rFonts w:ascii="Calibri" w:hAnsi="Calibri" w:cs="Calibri"/>
          <w:color w:val="000000" w:themeColor="text1"/>
          <w:sz w:val="23"/>
          <w:szCs w:val="23"/>
        </w:rPr>
      </w:pPr>
      <w:r>
        <w:rPr>
          <w:rFonts w:ascii="Calibri" w:hAnsi="Calibri" w:cs="Calibri"/>
          <w:color w:val="000000" w:themeColor="text1"/>
          <w:sz w:val="23"/>
          <w:szCs w:val="23"/>
        </w:rPr>
        <w:t>Updated Tables E &amp; F* in which there have been in places some fairly significant changes to the adjustment factors, as well as a helpful separation out between genders and provision of a wider spread of age groups and periods to trial to make calculations easier and reduce the need for interpolation.</w:t>
      </w:r>
    </w:p>
    <w:p w14:paraId="059D2276" w14:textId="77777777" w:rsidR="006904A5" w:rsidRDefault="006904A5" w:rsidP="006904A5">
      <w:pPr>
        <w:pStyle w:val="ListParagraph"/>
        <w:numPr>
          <w:ilvl w:val="0"/>
          <w:numId w:val="10"/>
        </w:numPr>
        <w:jc w:val="both"/>
        <w:rPr>
          <w:rFonts w:ascii="Calibri" w:hAnsi="Calibri" w:cs="Calibri"/>
          <w:color w:val="000000" w:themeColor="text1"/>
          <w:sz w:val="23"/>
          <w:szCs w:val="23"/>
        </w:rPr>
      </w:pPr>
      <w:r>
        <w:rPr>
          <w:rFonts w:ascii="Calibri" w:hAnsi="Calibri" w:cs="Calibri"/>
          <w:color w:val="000000" w:themeColor="text1"/>
          <w:sz w:val="23"/>
          <w:szCs w:val="23"/>
        </w:rPr>
        <w:t>Helpful worked examples to take you step by step through the process.</w:t>
      </w:r>
    </w:p>
    <w:p w14:paraId="5E4AC079" w14:textId="5ED91859" w:rsidR="006904A5" w:rsidRDefault="006904A5" w:rsidP="001D2D4F">
      <w:pPr>
        <w:spacing w:after="0" w:line="240" w:lineRule="auto"/>
        <w:jc w:val="both"/>
        <w:rPr>
          <w:rFonts w:ascii="Calibri" w:hAnsi="Calibri" w:cs="Calibri"/>
          <w:color w:val="000000" w:themeColor="text1"/>
          <w:sz w:val="23"/>
          <w:szCs w:val="23"/>
        </w:rPr>
      </w:pPr>
      <w:r>
        <w:rPr>
          <w:rFonts w:ascii="Calibri" w:hAnsi="Calibri" w:cs="Calibri"/>
          <w:color w:val="000000" w:themeColor="text1"/>
          <w:sz w:val="23"/>
          <w:szCs w:val="23"/>
        </w:rPr>
        <w:t xml:space="preserve">*as a reminder, Table E provides the discount factor to apply to pre-trial damages to take account of the risk that the Deceased would not have survived to the date of trial to provide the pre-trial dependency. Table F is the discount factor applicable to post-trial damages (future dependency loss) to take account of the risk that the Deceased would not have survived to the date of trial to provide the post-trial dependency. </w:t>
      </w:r>
    </w:p>
    <w:p w14:paraId="4987F941" w14:textId="77777777" w:rsidR="00F30709" w:rsidRDefault="00F30709" w:rsidP="001D2D4F">
      <w:pPr>
        <w:spacing w:after="0" w:line="240" w:lineRule="auto"/>
        <w:jc w:val="both"/>
        <w:rPr>
          <w:rFonts w:ascii="Calibri" w:hAnsi="Calibri" w:cs="Calibri"/>
          <w:color w:val="000000" w:themeColor="text1"/>
          <w:sz w:val="23"/>
          <w:szCs w:val="23"/>
        </w:rPr>
      </w:pPr>
    </w:p>
    <w:p w14:paraId="11F9B7CE" w14:textId="340D1854" w:rsidR="006A61E4" w:rsidRDefault="006A61E4" w:rsidP="001D2D4F">
      <w:pPr>
        <w:spacing w:after="0" w:line="240" w:lineRule="auto"/>
        <w:jc w:val="both"/>
        <w:rPr>
          <w:rFonts w:ascii="Calibri" w:hAnsi="Calibri" w:cs="Calibri"/>
          <w:b/>
          <w:bCs/>
          <w:color w:val="000000" w:themeColor="text1"/>
          <w:sz w:val="23"/>
          <w:szCs w:val="23"/>
        </w:rPr>
      </w:pPr>
    </w:p>
    <w:p w14:paraId="756B14B8" w14:textId="4F7292B1" w:rsidR="006A61E4" w:rsidRPr="00895753" w:rsidRDefault="00D2281E" w:rsidP="001D2D4F">
      <w:pPr>
        <w:spacing w:after="0" w:line="240" w:lineRule="auto"/>
        <w:jc w:val="both"/>
        <w:rPr>
          <w:rFonts w:ascii="Calibri" w:hAnsi="Calibri" w:cs="Calibri"/>
          <w:b/>
          <w:bCs/>
          <w:color w:val="000000" w:themeColor="text1"/>
          <w:sz w:val="23"/>
          <w:szCs w:val="23"/>
          <w:u w:val="single"/>
        </w:rPr>
      </w:pPr>
      <w:r>
        <w:rPr>
          <w:rFonts w:ascii="Calibri" w:hAnsi="Calibri" w:cs="Calibri"/>
          <w:b/>
          <w:bCs/>
          <w:color w:val="000000" w:themeColor="text1"/>
          <w:sz w:val="23"/>
          <w:szCs w:val="23"/>
          <w:u w:val="single"/>
        </w:rPr>
        <w:t>Strategy on r</w:t>
      </w:r>
      <w:r w:rsidR="00895753">
        <w:rPr>
          <w:rFonts w:ascii="Calibri" w:hAnsi="Calibri" w:cs="Calibri"/>
          <w:b/>
          <w:bCs/>
          <w:color w:val="000000" w:themeColor="text1"/>
          <w:sz w:val="23"/>
          <w:szCs w:val="23"/>
          <w:u w:val="single"/>
        </w:rPr>
        <w:t>evisiting Offers, Schedules and Counter Schedules</w:t>
      </w:r>
    </w:p>
    <w:p w14:paraId="6DA2C5C7" w14:textId="53D73C76" w:rsidR="00371ECF" w:rsidRDefault="00371ECF" w:rsidP="001D2D4F">
      <w:pPr>
        <w:spacing w:after="0" w:line="240" w:lineRule="auto"/>
        <w:jc w:val="both"/>
        <w:rPr>
          <w:rFonts w:ascii="Calibri" w:hAnsi="Calibri" w:cs="Calibri"/>
          <w:b/>
          <w:bCs/>
          <w:color w:val="000000" w:themeColor="text1"/>
          <w:sz w:val="23"/>
          <w:szCs w:val="23"/>
        </w:rPr>
      </w:pPr>
    </w:p>
    <w:p w14:paraId="03374BA5" w14:textId="0C3ACE76" w:rsidR="00895753" w:rsidRDefault="00895753" w:rsidP="001D2D4F">
      <w:pPr>
        <w:spacing w:after="0" w:line="240" w:lineRule="auto"/>
        <w:jc w:val="both"/>
        <w:rPr>
          <w:rFonts w:ascii="Calibri" w:hAnsi="Calibri" w:cs="Calibri"/>
          <w:color w:val="000000" w:themeColor="text1"/>
          <w:sz w:val="23"/>
          <w:szCs w:val="23"/>
        </w:rPr>
      </w:pPr>
      <w:r>
        <w:rPr>
          <w:rFonts w:ascii="Calibri" w:hAnsi="Calibri" w:cs="Calibri"/>
          <w:color w:val="000000" w:themeColor="text1"/>
          <w:sz w:val="23"/>
          <w:szCs w:val="23"/>
        </w:rPr>
        <w:t xml:space="preserve">The appropriate approach will of course vary infinitely depending on the facts of the case, the stage it has reached, the value, the date when the offer was made or the Schedule/ Counter Schedule served. But a few points to think about </w:t>
      </w:r>
      <w:r w:rsidR="004D08D4">
        <w:rPr>
          <w:rFonts w:ascii="Calibri" w:hAnsi="Calibri" w:cs="Calibri"/>
          <w:color w:val="000000" w:themeColor="text1"/>
          <w:sz w:val="23"/>
          <w:szCs w:val="23"/>
        </w:rPr>
        <w:t xml:space="preserve">we suggest </w:t>
      </w:r>
      <w:r>
        <w:rPr>
          <w:rFonts w:ascii="Calibri" w:hAnsi="Calibri" w:cs="Calibri"/>
          <w:color w:val="000000" w:themeColor="text1"/>
          <w:sz w:val="23"/>
          <w:szCs w:val="23"/>
        </w:rPr>
        <w:t>are:</w:t>
      </w:r>
    </w:p>
    <w:p w14:paraId="62C1CA80" w14:textId="3F82883C" w:rsidR="00895753" w:rsidRDefault="00895753" w:rsidP="001D2D4F">
      <w:pPr>
        <w:spacing w:after="0" w:line="240" w:lineRule="auto"/>
        <w:jc w:val="both"/>
        <w:rPr>
          <w:rFonts w:ascii="Calibri" w:hAnsi="Calibri" w:cs="Calibri"/>
          <w:color w:val="000000" w:themeColor="text1"/>
          <w:sz w:val="23"/>
          <w:szCs w:val="23"/>
        </w:rPr>
      </w:pPr>
    </w:p>
    <w:p w14:paraId="0DB149AE" w14:textId="2F056A81" w:rsidR="00895753" w:rsidRDefault="004D08D4" w:rsidP="00895753">
      <w:pPr>
        <w:pStyle w:val="ListParagraph"/>
        <w:numPr>
          <w:ilvl w:val="0"/>
          <w:numId w:val="11"/>
        </w:numPr>
        <w:spacing w:after="0" w:line="240" w:lineRule="auto"/>
        <w:jc w:val="both"/>
        <w:rPr>
          <w:rFonts w:ascii="Calibri" w:hAnsi="Calibri" w:cs="Calibri"/>
          <w:color w:val="000000" w:themeColor="text1"/>
          <w:sz w:val="23"/>
          <w:szCs w:val="23"/>
        </w:rPr>
      </w:pPr>
      <w:r>
        <w:rPr>
          <w:rFonts w:ascii="Calibri" w:hAnsi="Calibri" w:cs="Calibri"/>
          <w:color w:val="000000" w:themeColor="text1"/>
          <w:sz w:val="23"/>
          <w:szCs w:val="23"/>
        </w:rPr>
        <w:lastRenderedPageBreak/>
        <w:t>A knee jerk reaction is probably unnecessary and some careful calculation and reflection is appropriate</w:t>
      </w:r>
      <w:r w:rsidR="001E3C01">
        <w:rPr>
          <w:rFonts w:ascii="Calibri" w:hAnsi="Calibri" w:cs="Calibri"/>
          <w:color w:val="000000" w:themeColor="text1"/>
          <w:sz w:val="23"/>
          <w:szCs w:val="23"/>
        </w:rPr>
        <w:t xml:space="preserve"> before taking action</w:t>
      </w:r>
      <w:r>
        <w:rPr>
          <w:rFonts w:ascii="Calibri" w:hAnsi="Calibri" w:cs="Calibri"/>
          <w:color w:val="000000" w:themeColor="text1"/>
          <w:sz w:val="23"/>
          <w:szCs w:val="23"/>
        </w:rPr>
        <w:t xml:space="preserve">. Unless, perhaps, you represent a Defendant and have made a large offer to and older Claimant in the last 21 days! You might wish to consider an application to vary or withdraw under CPR 36.10 given the change in circumstances in the meantime. </w:t>
      </w:r>
    </w:p>
    <w:p w14:paraId="5CAC7399" w14:textId="124509E4" w:rsidR="004D08D4" w:rsidRDefault="004D08D4" w:rsidP="00895753">
      <w:pPr>
        <w:pStyle w:val="ListParagraph"/>
        <w:numPr>
          <w:ilvl w:val="0"/>
          <w:numId w:val="11"/>
        </w:numPr>
        <w:spacing w:after="0" w:line="240" w:lineRule="auto"/>
        <w:jc w:val="both"/>
        <w:rPr>
          <w:rFonts w:ascii="Calibri" w:hAnsi="Calibri" w:cs="Calibri"/>
          <w:color w:val="000000" w:themeColor="text1"/>
          <w:sz w:val="23"/>
          <w:szCs w:val="23"/>
        </w:rPr>
      </w:pPr>
      <w:r>
        <w:rPr>
          <w:rFonts w:ascii="Calibri" w:hAnsi="Calibri" w:cs="Calibri"/>
          <w:color w:val="000000" w:themeColor="text1"/>
          <w:sz w:val="23"/>
          <w:szCs w:val="23"/>
        </w:rPr>
        <w:t>But remember that the change in the level of multipliers may be more marginal where a rather younger Claimant is involved. The alteration in the value of the case, which might suggest the withdrawal of (or amendment to the terms of) an offer will need to be weighed against the benefit to be gained from a costs protective offer which may have been in place for some time.</w:t>
      </w:r>
      <w:r w:rsidR="001E3C01">
        <w:rPr>
          <w:rFonts w:ascii="Calibri" w:hAnsi="Calibri" w:cs="Calibri"/>
          <w:color w:val="000000" w:themeColor="text1"/>
          <w:sz w:val="23"/>
          <w:szCs w:val="23"/>
        </w:rPr>
        <w:t xml:space="preserve"> Also, the change in multipliers is not the only issue and alterations to discount factors and the other changes discussed above may make the impact on value more nuanced or more stark, depending on the facts of your case.</w:t>
      </w:r>
      <w:r>
        <w:rPr>
          <w:rFonts w:ascii="Calibri" w:hAnsi="Calibri" w:cs="Calibri"/>
          <w:color w:val="000000" w:themeColor="text1"/>
          <w:sz w:val="23"/>
          <w:szCs w:val="23"/>
        </w:rPr>
        <w:t xml:space="preserve"> </w:t>
      </w:r>
    </w:p>
    <w:p w14:paraId="46E6D95C" w14:textId="7D9933B6" w:rsidR="004D08D4" w:rsidRDefault="004D08D4" w:rsidP="00895753">
      <w:pPr>
        <w:pStyle w:val="ListParagraph"/>
        <w:numPr>
          <w:ilvl w:val="0"/>
          <w:numId w:val="11"/>
        </w:numPr>
        <w:spacing w:after="0" w:line="240" w:lineRule="auto"/>
        <w:jc w:val="both"/>
        <w:rPr>
          <w:rFonts w:ascii="Calibri" w:hAnsi="Calibri" w:cs="Calibri"/>
          <w:color w:val="000000" w:themeColor="text1"/>
          <w:sz w:val="23"/>
          <w:szCs w:val="23"/>
        </w:rPr>
      </w:pPr>
      <w:r>
        <w:rPr>
          <w:rFonts w:ascii="Calibri" w:hAnsi="Calibri" w:cs="Calibri"/>
          <w:color w:val="000000" w:themeColor="text1"/>
          <w:sz w:val="23"/>
          <w:szCs w:val="23"/>
        </w:rPr>
        <w:t xml:space="preserve">On that subject, do not overlook the ability to vary (in writing) the terms of an earlier offer (which has not been accepted in writing), in CPR 36.9. If the change is to make it </w:t>
      </w:r>
      <w:r w:rsidRPr="001E3C01">
        <w:rPr>
          <w:rFonts w:ascii="Calibri" w:hAnsi="Calibri" w:cs="Calibri"/>
          <w:i/>
          <w:iCs/>
          <w:color w:val="000000" w:themeColor="text1"/>
          <w:sz w:val="23"/>
          <w:szCs w:val="23"/>
        </w:rPr>
        <w:t>les</w:t>
      </w:r>
      <w:r>
        <w:rPr>
          <w:rFonts w:ascii="Calibri" w:hAnsi="Calibri" w:cs="Calibri"/>
          <w:color w:val="000000" w:themeColor="text1"/>
          <w:sz w:val="23"/>
          <w:szCs w:val="23"/>
        </w:rPr>
        <w:t>s favourable to the</w:t>
      </w:r>
      <w:r w:rsidRPr="004D08D4">
        <w:rPr>
          <w:rFonts w:ascii="Calibri" w:hAnsi="Calibri" w:cs="Calibri"/>
          <w:i/>
          <w:iCs/>
          <w:color w:val="000000" w:themeColor="text1"/>
          <w:sz w:val="23"/>
          <w:szCs w:val="23"/>
        </w:rPr>
        <w:t xml:space="preserve"> offeree</w:t>
      </w:r>
      <w:r>
        <w:rPr>
          <w:rFonts w:ascii="Calibri" w:hAnsi="Calibri" w:cs="Calibri"/>
          <w:color w:val="000000" w:themeColor="text1"/>
          <w:sz w:val="23"/>
          <w:szCs w:val="23"/>
        </w:rPr>
        <w:t xml:space="preserve">, the varied offer remains effective, for costs purposes, as if made at the date of the original offer. If the alteration makes it </w:t>
      </w:r>
      <w:r w:rsidRPr="001E3C01">
        <w:rPr>
          <w:rFonts w:ascii="Calibri" w:hAnsi="Calibri" w:cs="Calibri"/>
          <w:i/>
          <w:iCs/>
          <w:color w:val="000000" w:themeColor="text1"/>
          <w:sz w:val="23"/>
          <w:szCs w:val="23"/>
        </w:rPr>
        <w:t>more</w:t>
      </w:r>
      <w:r>
        <w:rPr>
          <w:rFonts w:ascii="Calibri" w:hAnsi="Calibri" w:cs="Calibri"/>
          <w:color w:val="000000" w:themeColor="text1"/>
          <w:sz w:val="23"/>
          <w:szCs w:val="23"/>
        </w:rPr>
        <w:t xml:space="preserve"> </w:t>
      </w:r>
      <w:r w:rsidR="001E3C01">
        <w:rPr>
          <w:rFonts w:ascii="Calibri" w:hAnsi="Calibri" w:cs="Calibri"/>
          <w:color w:val="000000" w:themeColor="text1"/>
          <w:sz w:val="23"/>
          <w:szCs w:val="23"/>
        </w:rPr>
        <w:t>advantageous</w:t>
      </w:r>
      <w:r>
        <w:rPr>
          <w:rFonts w:ascii="Calibri" w:hAnsi="Calibri" w:cs="Calibri"/>
          <w:color w:val="000000" w:themeColor="text1"/>
          <w:sz w:val="23"/>
          <w:szCs w:val="23"/>
        </w:rPr>
        <w:t xml:space="preserve"> to the </w:t>
      </w:r>
      <w:r w:rsidRPr="004D08D4">
        <w:rPr>
          <w:rFonts w:ascii="Calibri" w:hAnsi="Calibri" w:cs="Calibri"/>
          <w:i/>
          <w:iCs/>
          <w:color w:val="000000" w:themeColor="text1"/>
          <w:sz w:val="23"/>
          <w:szCs w:val="23"/>
        </w:rPr>
        <w:t>offeree</w:t>
      </w:r>
      <w:r>
        <w:rPr>
          <w:rFonts w:ascii="Calibri" w:hAnsi="Calibri" w:cs="Calibri"/>
          <w:color w:val="000000" w:themeColor="text1"/>
          <w:sz w:val="23"/>
          <w:szCs w:val="23"/>
        </w:rPr>
        <w:t xml:space="preserve">, </w:t>
      </w:r>
      <w:r w:rsidR="001E3C01">
        <w:rPr>
          <w:rFonts w:ascii="Calibri" w:hAnsi="Calibri" w:cs="Calibri"/>
          <w:color w:val="000000" w:themeColor="text1"/>
          <w:sz w:val="23"/>
          <w:szCs w:val="23"/>
        </w:rPr>
        <w:t>the offer will be treated, not as the withdrawal of the original offer, but as the making of a new CPR 36 offer on the improved terms</w:t>
      </w:r>
      <w:r>
        <w:rPr>
          <w:rFonts w:ascii="Calibri" w:hAnsi="Calibri" w:cs="Calibri"/>
          <w:color w:val="000000" w:themeColor="text1"/>
          <w:sz w:val="23"/>
          <w:szCs w:val="23"/>
        </w:rPr>
        <w:t>.</w:t>
      </w:r>
    </w:p>
    <w:p w14:paraId="35630AF0" w14:textId="2FBA5DF7" w:rsidR="00D2281E" w:rsidRDefault="001E3C01" w:rsidP="00895753">
      <w:pPr>
        <w:pStyle w:val="ListParagraph"/>
        <w:numPr>
          <w:ilvl w:val="0"/>
          <w:numId w:val="11"/>
        </w:numPr>
        <w:spacing w:after="0" w:line="240" w:lineRule="auto"/>
        <w:jc w:val="both"/>
        <w:rPr>
          <w:rFonts w:ascii="Calibri" w:hAnsi="Calibri" w:cs="Calibri"/>
          <w:color w:val="000000" w:themeColor="text1"/>
          <w:sz w:val="23"/>
          <w:szCs w:val="23"/>
        </w:rPr>
      </w:pPr>
      <w:r>
        <w:rPr>
          <w:rFonts w:ascii="Calibri" w:hAnsi="Calibri" w:cs="Calibri"/>
          <w:color w:val="000000" w:themeColor="text1"/>
          <w:sz w:val="23"/>
          <w:szCs w:val="23"/>
        </w:rPr>
        <w:t>Claimants may not want to rush to amend a Schedule if the (probable) effect is to reduce its value. But you will want to retain credibility and avoid giving an easy line of defence to the other party</w:t>
      </w:r>
      <w:r w:rsidR="00D2281E">
        <w:rPr>
          <w:rFonts w:ascii="Calibri" w:hAnsi="Calibri" w:cs="Calibri"/>
          <w:color w:val="000000" w:themeColor="text1"/>
          <w:sz w:val="23"/>
          <w:szCs w:val="23"/>
        </w:rPr>
        <w:t>.</w:t>
      </w:r>
      <w:r>
        <w:rPr>
          <w:rFonts w:ascii="Calibri" w:hAnsi="Calibri" w:cs="Calibri"/>
          <w:color w:val="000000" w:themeColor="text1"/>
          <w:sz w:val="23"/>
          <w:szCs w:val="23"/>
        </w:rPr>
        <w:t xml:space="preserve"> </w:t>
      </w:r>
      <w:r w:rsidR="00D2281E">
        <w:rPr>
          <w:rFonts w:ascii="Calibri" w:hAnsi="Calibri" w:cs="Calibri"/>
          <w:color w:val="000000" w:themeColor="text1"/>
          <w:sz w:val="23"/>
          <w:szCs w:val="23"/>
        </w:rPr>
        <w:t>A</w:t>
      </w:r>
      <w:r>
        <w:rPr>
          <w:rFonts w:ascii="Calibri" w:hAnsi="Calibri" w:cs="Calibri"/>
          <w:color w:val="000000" w:themeColor="text1"/>
          <w:sz w:val="23"/>
          <w:szCs w:val="23"/>
        </w:rPr>
        <w:t xml:space="preserve"> sensible recalibration of the Schedule in the lead up to a JSM or trial will put you in a stronger position to negotiate or argue the case before a Judge</w:t>
      </w:r>
      <w:r w:rsidR="00D2281E">
        <w:rPr>
          <w:rFonts w:ascii="Calibri" w:hAnsi="Calibri" w:cs="Calibri"/>
          <w:color w:val="000000" w:themeColor="text1"/>
          <w:sz w:val="23"/>
          <w:szCs w:val="23"/>
        </w:rPr>
        <w:t xml:space="preserve"> rather than ignoring the point and hoping (in vain) that no-one will notice</w:t>
      </w:r>
      <w:r>
        <w:rPr>
          <w:rFonts w:ascii="Calibri" w:hAnsi="Calibri" w:cs="Calibri"/>
          <w:color w:val="000000" w:themeColor="text1"/>
          <w:sz w:val="23"/>
          <w:szCs w:val="23"/>
        </w:rPr>
        <w:t xml:space="preserve">. </w:t>
      </w:r>
    </w:p>
    <w:p w14:paraId="5349C065" w14:textId="77777777" w:rsidR="00D2281E" w:rsidRDefault="001E3C01" w:rsidP="00895753">
      <w:pPr>
        <w:pStyle w:val="ListParagraph"/>
        <w:numPr>
          <w:ilvl w:val="0"/>
          <w:numId w:val="11"/>
        </w:numPr>
        <w:spacing w:after="0" w:line="240" w:lineRule="auto"/>
        <w:jc w:val="both"/>
        <w:rPr>
          <w:rFonts w:ascii="Calibri" w:hAnsi="Calibri" w:cs="Calibri"/>
          <w:color w:val="000000" w:themeColor="text1"/>
          <w:sz w:val="23"/>
          <w:szCs w:val="23"/>
        </w:rPr>
      </w:pPr>
      <w:r>
        <w:rPr>
          <w:rFonts w:ascii="Calibri" w:hAnsi="Calibri" w:cs="Calibri"/>
          <w:color w:val="000000" w:themeColor="text1"/>
          <w:sz w:val="23"/>
          <w:szCs w:val="23"/>
        </w:rPr>
        <w:t xml:space="preserve">For a Defendant, there may be more incentive to amend a Counter Schedule sooner rather than later if the claim value is likely to decrease. But is this only going to increase costs if this is done before the Claimant amends the Schedule, as the Counter Schedule may need to be redone twice. </w:t>
      </w:r>
    </w:p>
    <w:p w14:paraId="7961BCAF" w14:textId="67E707FE" w:rsidR="001E3C01" w:rsidRPr="00895753" w:rsidRDefault="001E3C01" w:rsidP="00895753">
      <w:pPr>
        <w:pStyle w:val="ListParagraph"/>
        <w:numPr>
          <w:ilvl w:val="0"/>
          <w:numId w:val="11"/>
        </w:numPr>
        <w:spacing w:after="0" w:line="240" w:lineRule="auto"/>
        <w:jc w:val="both"/>
        <w:rPr>
          <w:rFonts w:ascii="Calibri" w:hAnsi="Calibri" w:cs="Calibri"/>
          <w:color w:val="000000" w:themeColor="text1"/>
          <w:sz w:val="23"/>
          <w:szCs w:val="23"/>
        </w:rPr>
      </w:pPr>
      <w:r>
        <w:rPr>
          <w:rFonts w:ascii="Calibri" w:hAnsi="Calibri" w:cs="Calibri"/>
          <w:color w:val="000000" w:themeColor="text1"/>
          <w:sz w:val="23"/>
          <w:szCs w:val="23"/>
        </w:rPr>
        <w:t>An attempt to agree when and in what order any amended documents are prepared is not only what the CPR require</w:t>
      </w:r>
      <w:r w:rsidR="00D2281E">
        <w:rPr>
          <w:rFonts w:ascii="Calibri" w:hAnsi="Calibri" w:cs="Calibri"/>
          <w:color w:val="000000" w:themeColor="text1"/>
          <w:sz w:val="23"/>
          <w:szCs w:val="23"/>
        </w:rPr>
        <w:t xml:space="preserve"> (cooperation between the parties to further to overriding objective)</w:t>
      </w:r>
      <w:r>
        <w:rPr>
          <w:rFonts w:ascii="Calibri" w:hAnsi="Calibri" w:cs="Calibri"/>
          <w:color w:val="000000" w:themeColor="text1"/>
          <w:sz w:val="23"/>
          <w:szCs w:val="23"/>
        </w:rPr>
        <w:t xml:space="preserve"> but will probably save the Defendant client, insurer or NHSR costs in the long-run. </w:t>
      </w:r>
      <w:r w:rsidR="00D2281E">
        <w:rPr>
          <w:rFonts w:ascii="Calibri" w:hAnsi="Calibri" w:cs="Calibri"/>
          <w:color w:val="000000" w:themeColor="text1"/>
          <w:sz w:val="23"/>
          <w:szCs w:val="23"/>
        </w:rPr>
        <w:t>Might it</w:t>
      </w:r>
      <w:r>
        <w:rPr>
          <w:rFonts w:ascii="Calibri" w:hAnsi="Calibri" w:cs="Calibri"/>
          <w:color w:val="000000" w:themeColor="text1"/>
          <w:sz w:val="23"/>
          <w:szCs w:val="23"/>
        </w:rPr>
        <w:t xml:space="preserve"> be better to await receipt of joint statements, for instance, rather than rushing to amend during the evidence gathering phase</w:t>
      </w:r>
      <w:r w:rsidR="00D2281E">
        <w:rPr>
          <w:rFonts w:ascii="Calibri" w:hAnsi="Calibri" w:cs="Calibri"/>
          <w:color w:val="000000" w:themeColor="text1"/>
          <w:sz w:val="23"/>
          <w:szCs w:val="23"/>
        </w:rPr>
        <w:t>?</w:t>
      </w:r>
      <w:r>
        <w:rPr>
          <w:rFonts w:ascii="Calibri" w:hAnsi="Calibri" w:cs="Calibri"/>
          <w:color w:val="000000" w:themeColor="text1"/>
          <w:sz w:val="23"/>
          <w:szCs w:val="23"/>
        </w:rPr>
        <w:t xml:space="preserve"> Or if the claim has recently been served, seeking directions to deal with the impact of Ogden 8 at the first CCMC might be more proportionate than amending in the lead up to that hearing, unless the difference is really significant and might impact the evidence needed (e.g. about disability) or the approach to case and costs management.</w:t>
      </w:r>
      <w:r w:rsidR="00D2281E">
        <w:rPr>
          <w:rFonts w:ascii="Calibri" w:hAnsi="Calibri" w:cs="Calibri"/>
          <w:color w:val="000000" w:themeColor="text1"/>
          <w:sz w:val="23"/>
          <w:szCs w:val="23"/>
        </w:rPr>
        <w:t xml:space="preserve"> But if a JSM or Trial is looming, then a swifter response is undoubtedly called for.</w:t>
      </w:r>
    </w:p>
    <w:p w14:paraId="259B59F8" w14:textId="77777777" w:rsidR="00895753" w:rsidRPr="00CD500F" w:rsidRDefault="00895753" w:rsidP="001D2D4F">
      <w:pPr>
        <w:spacing w:after="0" w:line="240" w:lineRule="auto"/>
        <w:jc w:val="both"/>
        <w:rPr>
          <w:rFonts w:ascii="Calibri" w:hAnsi="Calibri" w:cs="Calibri"/>
          <w:b/>
          <w:bCs/>
          <w:color w:val="000000" w:themeColor="text1"/>
          <w:sz w:val="23"/>
          <w:szCs w:val="23"/>
        </w:rPr>
      </w:pPr>
    </w:p>
    <w:p w14:paraId="4980646C" w14:textId="20A6C551" w:rsidR="0053320F" w:rsidRPr="00CD500F" w:rsidRDefault="00FD7E83" w:rsidP="001D2D4F">
      <w:pPr>
        <w:spacing w:after="0" w:line="360" w:lineRule="auto"/>
        <w:jc w:val="right"/>
        <w:rPr>
          <w:rFonts w:ascii="Calibri" w:hAnsi="Calibri" w:cs="Calibri"/>
          <w:b/>
          <w:bCs/>
          <w:color w:val="000000" w:themeColor="text1"/>
          <w:sz w:val="23"/>
          <w:szCs w:val="23"/>
        </w:rPr>
      </w:pPr>
      <w:r w:rsidRPr="00CD500F">
        <w:rPr>
          <w:rFonts w:ascii="Calibri" w:hAnsi="Calibri" w:cs="Calibri"/>
          <w:b/>
          <w:bCs/>
          <w:color w:val="000000" w:themeColor="text1"/>
          <w:sz w:val="23"/>
          <w:szCs w:val="23"/>
        </w:rPr>
        <w:t>Charles Bagot QC</w:t>
      </w:r>
    </w:p>
    <w:p w14:paraId="38EC7F81" w14:textId="5867A127" w:rsidR="00FD7E83" w:rsidRPr="00CD500F" w:rsidRDefault="00FD7E83" w:rsidP="001D2D4F">
      <w:pPr>
        <w:spacing w:after="0" w:line="360" w:lineRule="auto"/>
        <w:jc w:val="right"/>
        <w:rPr>
          <w:rFonts w:ascii="Calibri" w:hAnsi="Calibri" w:cs="Calibri"/>
          <w:b/>
          <w:bCs/>
          <w:color w:val="000000" w:themeColor="text1"/>
          <w:sz w:val="23"/>
          <w:szCs w:val="23"/>
        </w:rPr>
      </w:pPr>
      <w:r w:rsidRPr="00CD500F">
        <w:rPr>
          <w:rFonts w:ascii="Calibri" w:hAnsi="Calibri" w:cs="Calibri"/>
          <w:b/>
          <w:bCs/>
          <w:color w:val="000000" w:themeColor="text1"/>
          <w:sz w:val="23"/>
          <w:szCs w:val="23"/>
        </w:rPr>
        <w:t>Colm Nugent</w:t>
      </w:r>
    </w:p>
    <w:p w14:paraId="1A9E4C02" w14:textId="543BF63C" w:rsidR="00FD7E83" w:rsidRPr="00CD500F" w:rsidRDefault="00FD7E83" w:rsidP="001D2D4F">
      <w:pPr>
        <w:spacing w:after="0" w:line="360" w:lineRule="auto"/>
        <w:jc w:val="right"/>
        <w:rPr>
          <w:rFonts w:ascii="Calibri" w:hAnsi="Calibri" w:cs="Calibri"/>
          <w:b/>
          <w:bCs/>
          <w:color w:val="000000" w:themeColor="text1"/>
          <w:sz w:val="23"/>
          <w:szCs w:val="23"/>
        </w:rPr>
      </w:pPr>
      <w:r w:rsidRPr="00CD500F">
        <w:rPr>
          <w:rFonts w:ascii="Calibri" w:hAnsi="Calibri" w:cs="Calibri"/>
          <w:b/>
          <w:bCs/>
          <w:color w:val="000000" w:themeColor="text1"/>
          <w:sz w:val="23"/>
          <w:szCs w:val="23"/>
        </w:rPr>
        <w:t>Jasmine Murphy</w:t>
      </w:r>
    </w:p>
    <w:p w14:paraId="1B623244" w14:textId="2BEAD964" w:rsidR="00FD7E83" w:rsidRPr="00CD500F" w:rsidRDefault="00FD7E83" w:rsidP="001D2D4F">
      <w:pPr>
        <w:spacing w:after="0" w:line="360" w:lineRule="auto"/>
        <w:jc w:val="right"/>
        <w:rPr>
          <w:rFonts w:ascii="Calibri" w:hAnsi="Calibri" w:cs="Calibri"/>
          <w:b/>
          <w:bCs/>
          <w:color w:val="000000" w:themeColor="text1"/>
          <w:sz w:val="23"/>
          <w:szCs w:val="23"/>
        </w:rPr>
      </w:pPr>
      <w:r w:rsidRPr="00CD500F">
        <w:rPr>
          <w:rFonts w:ascii="Calibri" w:hAnsi="Calibri" w:cs="Calibri"/>
          <w:b/>
          <w:bCs/>
          <w:color w:val="000000" w:themeColor="text1"/>
          <w:sz w:val="23"/>
          <w:szCs w:val="23"/>
        </w:rPr>
        <w:t>Helena Drage</w:t>
      </w:r>
    </w:p>
    <w:p w14:paraId="2FB092D4" w14:textId="4D438C53" w:rsidR="0053320F" w:rsidRPr="00CD500F" w:rsidRDefault="00FD7E83" w:rsidP="001D2D4F">
      <w:pPr>
        <w:spacing w:after="0" w:line="360" w:lineRule="auto"/>
        <w:jc w:val="right"/>
        <w:rPr>
          <w:rFonts w:ascii="Calibri" w:hAnsi="Calibri" w:cs="Calibri"/>
          <w:b/>
          <w:bCs/>
          <w:color w:val="000000" w:themeColor="text1"/>
          <w:sz w:val="23"/>
          <w:szCs w:val="23"/>
        </w:rPr>
      </w:pPr>
      <w:r w:rsidRPr="00CD500F">
        <w:rPr>
          <w:rFonts w:ascii="Calibri" w:hAnsi="Calibri" w:cs="Calibri"/>
          <w:b/>
          <w:bCs/>
          <w:color w:val="000000" w:themeColor="text1"/>
          <w:sz w:val="23"/>
          <w:szCs w:val="23"/>
        </w:rPr>
        <w:t>28</w:t>
      </w:r>
      <w:r w:rsidRPr="00CD500F">
        <w:rPr>
          <w:rFonts w:ascii="Calibri" w:hAnsi="Calibri" w:cs="Calibri"/>
          <w:b/>
          <w:bCs/>
          <w:color w:val="000000" w:themeColor="text1"/>
          <w:sz w:val="23"/>
          <w:szCs w:val="23"/>
          <w:vertAlign w:val="superscript"/>
        </w:rPr>
        <w:t>th</w:t>
      </w:r>
      <w:r w:rsidRPr="00CD500F">
        <w:rPr>
          <w:rFonts w:ascii="Calibri" w:hAnsi="Calibri" w:cs="Calibri"/>
          <w:b/>
          <w:bCs/>
          <w:color w:val="000000" w:themeColor="text1"/>
          <w:sz w:val="23"/>
          <w:szCs w:val="23"/>
        </w:rPr>
        <w:t xml:space="preserve"> </w:t>
      </w:r>
      <w:r w:rsidR="00023F1D" w:rsidRPr="00CD500F">
        <w:rPr>
          <w:rFonts w:ascii="Calibri" w:hAnsi="Calibri" w:cs="Calibri"/>
          <w:b/>
          <w:bCs/>
          <w:color w:val="000000" w:themeColor="text1"/>
          <w:sz w:val="23"/>
          <w:szCs w:val="23"/>
        </w:rPr>
        <w:t>July</w:t>
      </w:r>
      <w:r w:rsidR="0053320F" w:rsidRPr="00CD500F">
        <w:rPr>
          <w:rFonts w:ascii="Calibri" w:hAnsi="Calibri" w:cs="Calibri"/>
          <w:b/>
          <w:bCs/>
          <w:color w:val="000000" w:themeColor="text1"/>
          <w:sz w:val="23"/>
          <w:szCs w:val="23"/>
        </w:rPr>
        <w:t xml:space="preserve"> 2020</w:t>
      </w:r>
    </w:p>
    <w:p w14:paraId="23FD959A" w14:textId="77777777" w:rsidR="0053320F" w:rsidRPr="00CD500F" w:rsidRDefault="0053320F" w:rsidP="001D2D4F">
      <w:pPr>
        <w:spacing w:after="0" w:line="360" w:lineRule="auto"/>
        <w:jc w:val="both"/>
        <w:rPr>
          <w:rFonts w:ascii="Calibri" w:hAnsi="Calibri" w:cs="Calibri"/>
          <w:b/>
          <w:bCs/>
          <w:color w:val="000000" w:themeColor="text1"/>
          <w:sz w:val="23"/>
          <w:szCs w:val="23"/>
        </w:rPr>
      </w:pPr>
    </w:p>
    <w:p w14:paraId="66C637CB" w14:textId="0A0BBD2B" w:rsidR="00C33F68" w:rsidRPr="00CD500F" w:rsidRDefault="0053320F" w:rsidP="002E5C2B">
      <w:pPr>
        <w:spacing w:after="0" w:line="360" w:lineRule="auto"/>
        <w:jc w:val="both"/>
        <w:rPr>
          <w:rFonts w:ascii="Calibri" w:hAnsi="Calibri" w:cs="Calibri"/>
          <w:b/>
          <w:bCs/>
          <w:i/>
          <w:iCs/>
          <w:color w:val="000000" w:themeColor="text1"/>
          <w:sz w:val="23"/>
          <w:szCs w:val="23"/>
        </w:rPr>
      </w:pPr>
      <w:r w:rsidRPr="00CD500F">
        <w:rPr>
          <w:rFonts w:ascii="Calibri" w:hAnsi="Calibri" w:cs="Calibri"/>
          <w:i/>
          <w:iCs/>
          <w:color w:val="000000" w:themeColor="text1"/>
          <w:sz w:val="23"/>
          <w:szCs w:val="23"/>
          <w:shd w:val="clear" w:color="auto" w:fill="FFFFFF"/>
        </w:rPr>
        <w:t>This content is provided free of charge for information purposes only. It does not constitute legal advice and should not be relied on as such. No responsibility for the accuracy and/or correctness of the information and commentary set out in the article, or for any consequences of relying on it, is assumed or accepted by any member of Chambers or by Chambers as a whole.</w:t>
      </w:r>
    </w:p>
    <w:sectPr w:rsidR="00C33F68" w:rsidRPr="00CD500F" w:rsidSect="00637209">
      <w:headerReference w:type="default" r:id="rId13"/>
      <w:footerReference w:type="default" r:id="rId14"/>
      <w:headerReference w:type="first" r:id="rId15"/>
      <w:footerReference w:type="first" r:id="rId16"/>
      <w:pgSz w:w="11906" w:h="16838"/>
      <w:pgMar w:top="1418" w:right="1134" w:bottom="1134" w:left="1134"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896D1" w14:textId="77777777" w:rsidR="00151134" w:rsidRDefault="00151134" w:rsidP="0057387F">
      <w:pPr>
        <w:spacing w:after="0" w:line="240" w:lineRule="auto"/>
      </w:pPr>
      <w:r>
        <w:separator/>
      </w:r>
    </w:p>
  </w:endnote>
  <w:endnote w:type="continuationSeparator" w:id="0">
    <w:p w14:paraId="7DB826F1" w14:textId="77777777" w:rsidR="00151134" w:rsidRDefault="00151134" w:rsidP="0057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Pro Black">
    <w:panose1 w:val="020B0A04030504040204"/>
    <w:charset w:val="00"/>
    <w:family w:val="swiss"/>
    <w:pitch w:val="variable"/>
    <w:sig w:usb0="80000287" w:usb1="00000043"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1727002"/>
      <w:docPartObj>
        <w:docPartGallery w:val="Page Numbers (Bottom of Page)"/>
        <w:docPartUnique/>
      </w:docPartObj>
    </w:sdtPr>
    <w:sdtEndPr>
      <w:rPr>
        <w:noProof/>
      </w:rPr>
    </w:sdtEndPr>
    <w:sdtContent>
      <w:p w14:paraId="735EB6D9" w14:textId="77777777" w:rsidR="00C759C7" w:rsidRDefault="00C759C7">
        <w:pPr>
          <w:pStyle w:val="Footer"/>
          <w:jc w:val="right"/>
        </w:pPr>
      </w:p>
      <w:p w14:paraId="0F92FFBD" w14:textId="0B5BA598" w:rsidR="00C759C7" w:rsidRDefault="00C759C7">
        <w:pPr>
          <w:pStyle w:val="Footer"/>
          <w:jc w:val="right"/>
        </w:pPr>
        <w:r>
          <w:fldChar w:fldCharType="begin"/>
        </w:r>
        <w:r>
          <w:instrText xml:space="preserve"> PAGE   \* MERGEFORMAT </w:instrText>
        </w:r>
        <w:r>
          <w:fldChar w:fldCharType="separate"/>
        </w:r>
        <w:r w:rsidR="00A43FC1">
          <w:rPr>
            <w:noProof/>
          </w:rPr>
          <w:t>2</w:t>
        </w:r>
        <w:r>
          <w:rPr>
            <w:noProof/>
          </w:rPr>
          <w:fldChar w:fldCharType="end"/>
        </w:r>
      </w:p>
    </w:sdtContent>
  </w:sdt>
  <w:p w14:paraId="71C89E5C" w14:textId="77777777" w:rsidR="00C759C7" w:rsidRDefault="00C75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098150"/>
      <w:docPartObj>
        <w:docPartGallery w:val="Page Numbers (Bottom of Page)"/>
        <w:docPartUnique/>
      </w:docPartObj>
    </w:sdtPr>
    <w:sdtEndPr>
      <w:rPr>
        <w:noProof/>
      </w:rPr>
    </w:sdtEndPr>
    <w:sdtContent>
      <w:p w14:paraId="2EAA2BCF" w14:textId="57D4D2E8" w:rsidR="00C759C7" w:rsidRDefault="00C759C7">
        <w:pPr>
          <w:pStyle w:val="Footer"/>
          <w:jc w:val="right"/>
        </w:pPr>
        <w:r>
          <w:fldChar w:fldCharType="begin"/>
        </w:r>
        <w:r>
          <w:instrText xml:space="preserve"> PAGE   \* MERGEFORMAT </w:instrText>
        </w:r>
        <w:r>
          <w:fldChar w:fldCharType="separate"/>
        </w:r>
        <w:r w:rsidR="00A43FC1">
          <w:rPr>
            <w:noProof/>
          </w:rPr>
          <w:t>1</w:t>
        </w:r>
        <w:r>
          <w:rPr>
            <w:noProof/>
          </w:rPr>
          <w:fldChar w:fldCharType="end"/>
        </w:r>
      </w:p>
    </w:sdtContent>
  </w:sdt>
  <w:p w14:paraId="0287CDFC" w14:textId="77777777" w:rsidR="00C759C7" w:rsidRDefault="00C75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4962F" w14:textId="77777777" w:rsidR="00151134" w:rsidRDefault="00151134" w:rsidP="0057387F">
      <w:pPr>
        <w:spacing w:after="0" w:line="240" w:lineRule="auto"/>
      </w:pPr>
      <w:r>
        <w:separator/>
      </w:r>
    </w:p>
  </w:footnote>
  <w:footnote w:type="continuationSeparator" w:id="0">
    <w:p w14:paraId="1B4E9489" w14:textId="77777777" w:rsidR="00151134" w:rsidRDefault="00151134" w:rsidP="0057387F">
      <w:pPr>
        <w:spacing w:after="0" w:line="240" w:lineRule="auto"/>
      </w:pPr>
      <w:r>
        <w:continuationSeparator/>
      </w:r>
    </w:p>
  </w:footnote>
  <w:footnote w:id="1">
    <w:p w14:paraId="7C87194E" w14:textId="77777777" w:rsidR="00CD500F" w:rsidRPr="00940033" w:rsidRDefault="00CD500F" w:rsidP="00CD500F">
      <w:pPr>
        <w:pStyle w:val="p64x9c"/>
        <w:shd w:val="clear" w:color="auto" w:fill="FFFFFF"/>
        <w:spacing w:before="75" w:beforeAutospacing="0" w:after="420" w:afterAutospacing="0"/>
        <w:rPr>
          <w:rFonts w:ascii="Arial" w:hAnsi="Arial" w:cs="Arial"/>
          <w:color w:val="000000" w:themeColor="text1"/>
          <w:sz w:val="20"/>
          <w:szCs w:val="20"/>
        </w:rPr>
      </w:pPr>
      <w:r w:rsidRPr="00940033">
        <w:rPr>
          <w:rStyle w:val="FootnoteReference"/>
          <w:rFonts w:ascii="Arial" w:hAnsi="Arial" w:cs="Arial"/>
          <w:color w:val="000000" w:themeColor="text1"/>
        </w:rPr>
        <w:footnoteRef/>
      </w:r>
      <w:r w:rsidRPr="00940033">
        <w:rPr>
          <w:rFonts w:ascii="Arial" w:hAnsi="Arial" w:cs="Arial"/>
          <w:color w:val="000000" w:themeColor="text1"/>
        </w:rPr>
        <w:t xml:space="preserve"> </w:t>
      </w:r>
      <w:r w:rsidRPr="00940033">
        <w:rPr>
          <w:rFonts w:ascii="Arial" w:hAnsi="Arial" w:cs="Arial"/>
          <w:color w:val="000000" w:themeColor="text1"/>
          <w:sz w:val="20"/>
          <w:szCs w:val="20"/>
        </w:rPr>
        <w:fldChar w:fldCharType="begin"/>
      </w:r>
      <w:r w:rsidRPr="00940033">
        <w:rPr>
          <w:rFonts w:ascii="Arial" w:hAnsi="Arial" w:cs="Arial"/>
          <w:color w:val="000000" w:themeColor="text1"/>
          <w:sz w:val="20"/>
          <w:szCs w:val="20"/>
        </w:rPr>
        <w:instrText xml:space="preserve"> HYPERLINK "https://www.12kbw.co.uk/billett-v-ministry-of-defence-2015-ewca-civ-773/" </w:instrText>
      </w:r>
      <w:r w:rsidRPr="00940033">
        <w:rPr>
          <w:rFonts w:ascii="Arial" w:hAnsi="Arial" w:cs="Arial"/>
          <w:color w:val="000000" w:themeColor="text1"/>
          <w:sz w:val="20"/>
          <w:szCs w:val="20"/>
        </w:rPr>
        <w:fldChar w:fldCharType="separate"/>
      </w:r>
      <w:proofErr w:type="spellStart"/>
      <w:r w:rsidRPr="00940033">
        <w:rPr>
          <w:rFonts w:ascii="Arial" w:hAnsi="Arial" w:cs="Arial"/>
          <w:color w:val="000000" w:themeColor="text1"/>
          <w:sz w:val="20"/>
          <w:szCs w:val="20"/>
        </w:rPr>
        <w:t>Billett</w:t>
      </w:r>
      <w:proofErr w:type="spellEnd"/>
      <w:r w:rsidRPr="00940033">
        <w:rPr>
          <w:rFonts w:ascii="Arial" w:hAnsi="Arial" w:cs="Arial"/>
          <w:color w:val="000000" w:themeColor="text1"/>
          <w:sz w:val="20"/>
          <w:szCs w:val="20"/>
        </w:rPr>
        <w:t xml:space="preserve"> v. Ministry of Defence [2015] EWCA </w:t>
      </w:r>
      <w:proofErr w:type="spellStart"/>
      <w:r w:rsidRPr="00940033">
        <w:rPr>
          <w:rFonts w:ascii="Arial" w:hAnsi="Arial" w:cs="Arial"/>
          <w:color w:val="000000" w:themeColor="text1"/>
          <w:sz w:val="20"/>
          <w:szCs w:val="20"/>
        </w:rPr>
        <w:t>Civ</w:t>
      </w:r>
      <w:proofErr w:type="spellEnd"/>
      <w:r w:rsidRPr="00940033">
        <w:rPr>
          <w:rFonts w:ascii="Arial" w:hAnsi="Arial" w:cs="Arial"/>
          <w:color w:val="000000" w:themeColor="text1"/>
          <w:sz w:val="20"/>
          <w:szCs w:val="20"/>
        </w:rPr>
        <w:t xml:space="preserve"> 773</w:t>
      </w:r>
    </w:p>
    <w:p w14:paraId="65E2BF2B" w14:textId="77777777" w:rsidR="00CD500F" w:rsidRPr="00470273" w:rsidRDefault="00CD500F" w:rsidP="00CD500F">
      <w:pPr>
        <w:shd w:val="clear" w:color="auto" w:fill="FFFFFF"/>
        <w:spacing w:line="240" w:lineRule="auto"/>
        <w:rPr>
          <w:rFonts w:ascii="Arial" w:eastAsia="Times New Roman" w:hAnsi="Arial" w:cs="Arial"/>
          <w:color w:val="222222"/>
          <w:sz w:val="24"/>
          <w:szCs w:val="24"/>
          <w:lang w:eastAsia="en-GB"/>
        </w:rPr>
      </w:pPr>
      <w:r w:rsidRPr="00940033">
        <w:rPr>
          <w:rFonts w:ascii="Arial" w:eastAsia="Times New Roman" w:hAnsi="Arial" w:cs="Arial"/>
          <w:color w:val="000000" w:themeColor="text1"/>
          <w:sz w:val="20"/>
          <w:szCs w:val="20"/>
          <w:lang w:eastAsia="en-GB"/>
        </w:rPr>
        <w:fldChar w:fldCharType="end"/>
      </w:r>
    </w:p>
    <w:p w14:paraId="46CCBBF2" w14:textId="77777777" w:rsidR="00CD500F" w:rsidRDefault="00CD500F" w:rsidP="00CD500F">
      <w:pPr>
        <w:pStyle w:val="FootnoteText"/>
      </w:pPr>
    </w:p>
  </w:footnote>
  <w:footnote w:id="2">
    <w:p w14:paraId="37531F43" w14:textId="77777777" w:rsidR="00CD500F" w:rsidRPr="00940033" w:rsidRDefault="00CD500F" w:rsidP="00CD500F">
      <w:pPr>
        <w:pStyle w:val="FootnoteText"/>
        <w:rPr>
          <w:rFonts w:ascii="Arial" w:hAnsi="Arial" w:cs="Arial"/>
        </w:rPr>
      </w:pPr>
      <w:r w:rsidRPr="00940033">
        <w:rPr>
          <w:rStyle w:val="FootnoteReference"/>
          <w:rFonts w:ascii="Arial" w:hAnsi="Arial" w:cs="Arial"/>
        </w:rPr>
        <w:footnoteRef/>
      </w:r>
      <w:r w:rsidRPr="00940033">
        <w:rPr>
          <w:rFonts w:ascii="Arial" w:hAnsi="Arial" w:cs="Arial"/>
        </w:rPr>
        <w:t xml:space="preserve"> </w:t>
      </w:r>
      <w:hyperlink r:id="rId1" w:history="1">
        <w:r w:rsidRPr="00940033">
          <w:rPr>
            <w:rStyle w:val="Hyperlink"/>
            <w:rFonts w:ascii="Arial" w:hAnsi="Arial" w:cs="Arial"/>
          </w:rPr>
          <w:t>https://www.lawtel.com/UK/FullText/AC0128777QBD.pdf</w:t>
        </w:r>
      </w:hyperlink>
    </w:p>
  </w:footnote>
  <w:footnote w:id="3">
    <w:p w14:paraId="0AE319D8" w14:textId="77777777" w:rsidR="00CD500F" w:rsidRPr="00940033" w:rsidRDefault="00CD500F" w:rsidP="00CD500F">
      <w:pPr>
        <w:ind w:left="142" w:hanging="142"/>
        <w:rPr>
          <w:rFonts w:ascii="Arial" w:hAnsi="Arial" w:cs="Arial"/>
          <w:sz w:val="20"/>
          <w:szCs w:val="20"/>
        </w:rPr>
      </w:pPr>
      <w:r w:rsidRPr="00940033">
        <w:rPr>
          <w:rStyle w:val="FootnoteReference"/>
          <w:rFonts w:ascii="Arial" w:hAnsi="Arial" w:cs="Arial"/>
        </w:rPr>
        <w:footnoteRef/>
      </w:r>
      <w:r w:rsidRPr="00940033">
        <w:rPr>
          <w:rFonts w:ascii="Arial" w:hAnsi="Arial" w:cs="Arial"/>
        </w:rPr>
        <w:t xml:space="preserve"> </w:t>
      </w:r>
      <w:r w:rsidRPr="00940033">
        <w:rPr>
          <w:rFonts w:ascii="Arial" w:hAnsi="Arial" w:cs="Arial"/>
          <w:sz w:val="20"/>
          <w:szCs w:val="20"/>
        </w:rPr>
        <w:t xml:space="preserve">Wass V (2008) “Discretion in the Application of the New Ogden Six Multipliers: The case of Connor v Bradman”, Journal of Personal Injury Law, 2 pp. 155-164. </w:t>
      </w:r>
    </w:p>
    <w:p w14:paraId="45633867" w14:textId="77777777" w:rsidR="00CD500F" w:rsidRDefault="00CD500F" w:rsidP="00CD500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41BC9" w14:textId="3A352F49" w:rsidR="00C759C7" w:rsidRDefault="00C759C7">
    <w:pPr>
      <w:pStyle w:val="Header"/>
    </w:pPr>
    <w:r>
      <w:rPr>
        <w:noProof/>
        <w:sz w:val="17"/>
        <w:szCs w:val="17"/>
        <w:lang w:val="en-US"/>
      </w:rPr>
      <w:drawing>
        <wp:anchor distT="0" distB="0" distL="114300" distR="114300" simplePos="0" relativeHeight="251658240" behindDoc="0" locked="0" layoutInCell="1" allowOverlap="1" wp14:anchorId="2563CBFA" wp14:editId="7A206471">
          <wp:simplePos x="0" y="0"/>
          <wp:positionH relativeFrom="margin">
            <wp:align>left</wp:align>
          </wp:positionH>
          <wp:positionV relativeFrom="paragraph">
            <wp:posOffset>-126365</wp:posOffset>
          </wp:positionV>
          <wp:extent cx="2162175" cy="352425"/>
          <wp:effectExtent l="0" t="0" r="9525" b="9525"/>
          <wp:wrapNone/>
          <wp:docPr id="2" name="Picture 2" descr="Hardwick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wicke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CDAD4" w14:textId="77777777" w:rsidR="00C759C7" w:rsidRDefault="00C759C7">
    <w:pPr>
      <w:pStyle w:val="Header"/>
    </w:pPr>
  </w:p>
  <w:p w14:paraId="6AAD579C" w14:textId="77777777" w:rsidR="00C759C7" w:rsidRDefault="00C759C7">
    <w:pPr>
      <w:pStyle w:val="Header"/>
    </w:pPr>
  </w:p>
  <w:p w14:paraId="7EEBB538" w14:textId="77777777" w:rsidR="00C759C7" w:rsidRDefault="00C759C7">
    <w:pPr>
      <w:pStyle w:val="Header"/>
    </w:pPr>
  </w:p>
  <w:p w14:paraId="56A1EFE6" w14:textId="77777777" w:rsidR="00C759C7" w:rsidRPr="005F4BF8" w:rsidRDefault="00C759C7">
    <w:pPr>
      <w:pStyle w:val="Header"/>
      <w:rPr>
        <w:sz w:val="10"/>
        <w:szCs w:val="10"/>
      </w:rPr>
    </w:pPr>
  </w:p>
  <w:p w14:paraId="18ABF215" w14:textId="33942D7D" w:rsidR="00C759C7" w:rsidRDefault="00C759C7">
    <w:pPr>
      <w:pStyle w:val="Header"/>
    </w:pPr>
    <w:r>
      <w:rPr>
        <w:noProof/>
        <w:lang w:val="en-US"/>
      </w:rPr>
      <mc:AlternateContent>
        <mc:Choice Requires="wps">
          <w:drawing>
            <wp:anchor distT="45720" distB="45720" distL="114300" distR="114300" simplePos="0" relativeHeight="251663360" behindDoc="0" locked="1" layoutInCell="1" allowOverlap="1" wp14:anchorId="4813BB0A" wp14:editId="5B53F7B0">
              <wp:simplePos x="0" y="0"/>
              <wp:positionH relativeFrom="margin">
                <wp:posOffset>3239770</wp:posOffset>
              </wp:positionH>
              <wp:positionV relativeFrom="page">
                <wp:posOffset>269240</wp:posOffset>
              </wp:positionV>
              <wp:extent cx="3503295" cy="7918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791845"/>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51"/>
                          </w:tblGrid>
                          <w:tr w:rsidR="00C759C7" w:rsidRPr="005F4BF8" w14:paraId="17228AF8" w14:textId="77777777" w:rsidTr="00A41205">
                            <w:tc>
                              <w:tcPr>
                                <w:tcW w:w="2552" w:type="dxa"/>
                              </w:tcPr>
                              <w:p w14:paraId="257B1F92" w14:textId="06E23DF2" w:rsidR="00C759C7" w:rsidRPr="005F4BF8" w:rsidRDefault="00C759C7">
                                <w:pPr>
                                  <w:rPr>
                                    <w:rFonts w:ascii="Verdana" w:hAnsi="Verdana"/>
                                    <w:color w:val="3B3B3A"/>
                                    <w:sz w:val="14"/>
                                    <w:szCs w:val="14"/>
                                  </w:rPr>
                                </w:pPr>
                                <w:r w:rsidRPr="005F4BF8">
                                  <w:rPr>
                                    <w:rFonts w:ascii="Verdana" w:hAnsi="Verdana"/>
                                    <w:color w:val="3B3B3A"/>
                                    <w:sz w:val="14"/>
                                    <w:szCs w:val="14"/>
                                  </w:rPr>
                                  <w:t>Hardwicke Building,</w:t>
                                </w:r>
                              </w:p>
                              <w:p w14:paraId="21093D7B" w14:textId="77777777" w:rsidR="00C759C7" w:rsidRPr="005F4BF8" w:rsidRDefault="00C759C7">
                                <w:pPr>
                                  <w:rPr>
                                    <w:rFonts w:ascii="Verdana" w:hAnsi="Verdana"/>
                                    <w:color w:val="3B3B3A"/>
                                    <w:sz w:val="14"/>
                                    <w:szCs w:val="14"/>
                                  </w:rPr>
                                </w:pPr>
                                <w:r w:rsidRPr="005F4BF8">
                                  <w:rPr>
                                    <w:rFonts w:ascii="Verdana" w:hAnsi="Verdana"/>
                                    <w:color w:val="3B3B3A"/>
                                    <w:sz w:val="14"/>
                                    <w:szCs w:val="14"/>
                                  </w:rPr>
                                  <w:t>New Square, Lincoln’s Inn,</w:t>
                                </w:r>
                              </w:p>
                              <w:p w14:paraId="2C22D8DC" w14:textId="77777777" w:rsidR="00C759C7" w:rsidRPr="005F4BF8" w:rsidRDefault="00C759C7">
                                <w:pPr>
                                  <w:rPr>
                                    <w:rFonts w:ascii="Verdana" w:hAnsi="Verdana"/>
                                    <w:color w:val="3B3B3A"/>
                                    <w:sz w:val="14"/>
                                    <w:szCs w:val="14"/>
                                  </w:rPr>
                                </w:pPr>
                                <w:r w:rsidRPr="005F4BF8">
                                  <w:rPr>
                                    <w:rFonts w:ascii="Verdana" w:hAnsi="Verdana"/>
                                    <w:color w:val="3B3B3A"/>
                                    <w:sz w:val="14"/>
                                    <w:szCs w:val="14"/>
                                  </w:rPr>
                                  <w:t>London WC2A 3SB</w:t>
                                </w:r>
                              </w:p>
                              <w:p w14:paraId="2B4544AE" w14:textId="624BA3C4" w:rsidR="00C759C7" w:rsidRPr="005F4BF8" w:rsidRDefault="00C759C7" w:rsidP="0057387F">
                                <w:pPr>
                                  <w:rPr>
                                    <w:rFonts w:ascii="Verdana" w:hAnsi="Verdana"/>
                                    <w:color w:val="3B3B3A"/>
                                    <w:sz w:val="14"/>
                                    <w:szCs w:val="14"/>
                                  </w:rPr>
                                </w:pPr>
                                <w:r w:rsidRPr="005F4BF8">
                                  <w:rPr>
                                    <w:rFonts w:ascii="Verdana" w:hAnsi="Verdana"/>
                                    <w:color w:val="3B3B3A"/>
                                    <w:sz w:val="14"/>
                                    <w:szCs w:val="14"/>
                                  </w:rPr>
                                  <w:t>DX: LDE 393</w:t>
                                </w:r>
                              </w:p>
                            </w:tc>
                            <w:tc>
                              <w:tcPr>
                                <w:tcW w:w="2551" w:type="dxa"/>
                              </w:tcPr>
                              <w:p w14:paraId="24648B9D" w14:textId="77777777" w:rsidR="00C759C7" w:rsidRPr="005F4BF8" w:rsidRDefault="00C759C7">
                                <w:pPr>
                                  <w:tabs>
                                    <w:tab w:val="left" w:pos="310"/>
                                  </w:tabs>
                                  <w:rPr>
                                    <w:rFonts w:ascii="Verdana" w:hAnsi="Verdana"/>
                                    <w:color w:val="3B3B3A"/>
                                    <w:sz w:val="14"/>
                                    <w:szCs w:val="14"/>
                                  </w:rPr>
                                </w:pPr>
                                <w:r w:rsidRPr="005F4BF8">
                                  <w:rPr>
                                    <w:rFonts w:ascii="Verdana" w:hAnsi="Verdana"/>
                                    <w:color w:val="D70826"/>
                                    <w:sz w:val="14"/>
                                    <w:szCs w:val="14"/>
                                  </w:rPr>
                                  <w:t>T</w:t>
                                </w:r>
                                <w:r w:rsidRPr="005F4BF8">
                                  <w:rPr>
                                    <w:rFonts w:ascii="Verdana" w:hAnsi="Verdana"/>
                                    <w:color w:val="3B3B3A"/>
                                    <w:sz w:val="14"/>
                                    <w:szCs w:val="14"/>
                                  </w:rPr>
                                  <w:tab/>
                                  <w:t>+44 (0) 20 7242 2523</w:t>
                                </w:r>
                              </w:p>
                              <w:p w14:paraId="73D35581" w14:textId="5520D0A8" w:rsidR="00C759C7" w:rsidRPr="005F4BF8" w:rsidRDefault="00C759C7">
                                <w:pPr>
                                  <w:tabs>
                                    <w:tab w:val="left" w:pos="310"/>
                                  </w:tabs>
                                  <w:rPr>
                                    <w:rFonts w:ascii="Verdana" w:hAnsi="Verdana"/>
                                    <w:color w:val="3B3B3A"/>
                                    <w:sz w:val="14"/>
                                    <w:szCs w:val="14"/>
                                  </w:rPr>
                                </w:pPr>
                                <w:r w:rsidRPr="005F4BF8">
                                  <w:rPr>
                                    <w:rFonts w:ascii="Verdana" w:hAnsi="Verdana"/>
                                    <w:color w:val="D70826"/>
                                    <w:sz w:val="14"/>
                                    <w:szCs w:val="14"/>
                                  </w:rPr>
                                  <w:t>E</w:t>
                                </w:r>
                                <w:r w:rsidRPr="005F4BF8">
                                  <w:rPr>
                                    <w:rFonts w:ascii="Verdana" w:hAnsi="Verdana"/>
                                    <w:color w:val="3B3B3A"/>
                                    <w:sz w:val="14"/>
                                    <w:szCs w:val="14"/>
                                  </w:rPr>
                                  <w:tab/>
                                  <w:t>enquiries@hardwicke.co.uk</w:t>
                                </w:r>
                              </w:p>
                              <w:p w14:paraId="70CD5287" w14:textId="77777777" w:rsidR="00C759C7" w:rsidRPr="005F4BF8" w:rsidRDefault="00C759C7">
                                <w:pPr>
                                  <w:tabs>
                                    <w:tab w:val="left" w:pos="310"/>
                                  </w:tabs>
                                  <w:rPr>
                                    <w:rFonts w:ascii="Verdana" w:hAnsi="Verdana"/>
                                    <w:color w:val="3B3B3A"/>
                                    <w:sz w:val="14"/>
                                    <w:szCs w:val="14"/>
                                  </w:rPr>
                                </w:pPr>
                                <w:r w:rsidRPr="005F4BF8">
                                  <w:rPr>
                                    <w:rFonts w:ascii="Verdana" w:hAnsi="Verdana"/>
                                    <w:color w:val="D70826"/>
                                    <w:sz w:val="14"/>
                                    <w:szCs w:val="14"/>
                                  </w:rPr>
                                  <w:t>W</w:t>
                                </w:r>
                                <w:r w:rsidRPr="005F4BF8">
                                  <w:rPr>
                                    <w:rFonts w:ascii="Verdana" w:hAnsi="Verdana"/>
                                    <w:color w:val="3B3B3A"/>
                                    <w:sz w:val="14"/>
                                    <w:szCs w:val="14"/>
                                  </w:rPr>
                                  <w:tab/>
                                  <w:t>hardwicke.co.uk</w:t>
                                </w:r>
                              </w:p>
                              <w:p w14:paraId="1B689B82" w14:textId="229B9E46" w:rsidR="00C759C7" w:rsidRPr="005F4BF8" w:rsidRDefault="00C759C7">
                                <w:pPr>
                                  <w:tabs>
                                    <w:tab w:val="left" w:pos="310"/>
                                  </w:tabs>
                                  <w:rPr>
                                    <w:rFonts w:ascii="Verdana" w:hAnsi="Verdana"/>
                                    <w:color w:val="3B3B3A"/>
                                    <w:sz w:val="14"/>
                                    <w:szCs w:val="14"/>
                                  </w:rPr>
                                </w:pPr>
                                <w:r w:rsidRPr="005F4BF8">
                                  <w:rPr>
                                    <w:rFonts w:ascii="Verdana" w:hAnsi="Verdana"/>
                                    <w:noProof/>
                                    <w:color w:val="3B3B3A"/>
                                    <w:sz w:val="14"/>
                                    <w:szCs w:val="14"/>
                                    <w:lang w:val="en-US"/>
                                  </w:rPr>
                                  <w:drawing>
                                    <wp:inline distT="0" distB="0" distL="0" distR="0" wp14:anchorId="72B2D027" wp14:editId="6A7EEEEC">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d twitter bird.png"/>
                                              <pic:cNvPicPr/>
                                            </pic:nvPicPr>
                                            <pic:blipFill>
                                              <a:blip r:embed="rId1">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005F4BF8">
                                  <w:rPr>
                                    <w:rFonts w:ascii="Verdana" w:hAnsi="Verdana"/>
                                    <w:color w:val="3B3B3A"/>
                                    <w:sz w:val="14"/>
                                    <w:szCs w:val="14"/>
                                  </w:rPr>
                                  <w:tab/>
                                  <w:t>@hardwickelaw</w:t>
                                </w:r>
                              </w:p>
                            </w:tc>
                          </w:tr>
                          <w:tr w:rsidR="00C759C7" w:rsidRPr="005F4BF8" w14:paraId="6C5E619E" w14:textId="77777777" w:rsidTr="00A41205">
                            <w:tc>
                              <w:tcPr>
                                <w:tcW w:w="5103" w:type="dxa"/>
                                <w:gridSpan w:val="2"/>
                              </w:tcPr>
                              <w:p w14:paraId="15A063DE" w14:textId="77777777" w:rsidR="00C759C7" w:rsidRPr="005F4BF8" w:rsidRDefault="00C759C7">
                                <w:pPr>
                                  <w:rPr>
                                    <w:rFonts w:ascii="Verdana" w:hAnsi="Verdana"/>
                                    <w:color w:val="3B3B3A"/>
                                    <w:sz w:val="14"/>
                                    <w:szCs w:val="14"/>
                                  </w:rPr>
                                </w:pPr>
                              </w:p>
                              <w:p w14:paraId="7EC87C88" w14:textId="452400A8" w:rsidR="00C759C7" w:rsidRPr="005F4BF8" w:rsidRDefault="00C759C7">
                                <w:pPr>
                                  <w:rPr>
                                    <w:rFonts w:ascii="Verdana" w:hAnsi="Verdana"/>
                                    <w:color w:val="3B3B3A"/>
                                    <w:sz w:val="14"/>
                                    <w:szCs w:val="14"/>
                                  </w:rPr>
                                </w:pPr>
                                <w:r w:rsidRPr="005F4BF8">
                                  <w:rPr>
                                    <w:rFonts w:ascii="Verdana" w:hAnsi="Verdana"/>
                                    <w:color w:val="3B3B3A"/>
                                    <w:sz w:val="14"/>
                                    <w:szCs w:val="14"/>
                                  </w:rPr>
                                  <w:t>Barristers regulated by the Bar Standards Board</w:t>
                                </w:r>
                              </w:p>
                            </w:tc>
                          </w:tr>
                        </w:tbl>
                        <w:p w14:paraId="5E04CCEF" w14:textId="085BC914" w:rsidR="00C759C7" w:rsidRPr="005F4BF8" w:rsidRDefault="00C759C7">
                          <w:pPr>
                            <w:rPr>
                              <w:rFonts w:ascii="Verdana" w:hAnsi="Verdana"/>
                              <w:sz w:val="2"/>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3BB0A" id="_x0000_t202" coordsize="21600,21600" o:spt="202" path="m,l,21600r21600,l21600,xe">
              <v:stroke joinstyle="miter"/>
              <v:path gradientshapeok="t" o:connecttype="rect"/>
            </v:shapetype>
            <v:shape id="_x0000_s1027" type="#_x0000_t202" style="position:absolute;margin-left:255.1pt;margin-top:21.2pt;width:275.85pt;height:62.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&#13;&#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51"/>
                    </w:tblGrid>
                    <w:tr w:rsidR="00C759C7" w:rsidRPr="005F4BF8" w14:paraId="17228AF8" w14:textId="77777777" w:rsidTr="00A41205">
                      <w:tc>
                        <w:tcPr>
                          <w:tcW w:w="2552" w:type="dxa"/>
                        </w:tcPr>
                        <w:p w14:paraId="257B1F92" w14:textId="06E23DF2" w:rsidR="00C759C7" w:rsidRPr="005F4BF8" w:rsidRDefault="00C759C7">
                          <w:pPr>
                            <w:rPr>
                              <w:rFonts w:ascii="Verdana" w:hAnsi="Verdana"/>
                              <w:color w:val="3B3B3A"/>
                              <w:sz w:val="14"/>
                              <w:szCs w:val="14"/>
                            </w:rPr>
                          </w:pPr>
                          <w:r w:rsidRPr="005F4BF8">
                            <w:rPr>
                              <w:rFonts w:ascii="Verdana" w:hAnsi="Verdana"/>
                              <w:color w:val="3B3B3A"/>
                              <w:sz w:val="14"/>
                              <w:szCs w:val="14"/>
                            </w:rPr>
                            <w:t>Hardwicke Building,</w:t>
                          </w:r>
                        </w:p>
                        <w:p w14:paraId="21093D7B" w14:textId="77777777" w:rsidR="00C759C7" w:rsidRPr="005F4BF8" w:rsidRDefault="00C759C7">
                          <w:pPr>
                            <w:rPr>
                              <w:rFonts w:ascii="Verdana" w:hAnsi="Verdana"/>
                              <w:color w:val="3B3B3A"/>
                              <w:sz w:val="14"/>
                              <w:szCs w:val="14"/>
                            </w:rPr>
                          </w:pPr>
                          <w:r w:rsidRPr="005F4BF8">
                            <w:rPr>
                              <w:rFonts w:ascii="Verdana" w:hAnsi="Verdana"/>
                              <w:color w:val="3B3B3A"/>
                              <w:sz w:val="14"/>
                              <w:szCs w:val="14"/>
                            </w:rPr>
                            <w:t>New Square, Lincoln’s Inn,</w:t>
                          </w:r>
                        </w:p>
                        <w:p w14:paraId="2C22D8DC" w14:textId="77777777" w:rsidR="00C759C7" w:rsidRPr="005F4BF8" w:rsidRDefault="00C759C7">
                          <w:pPr>
                            <w:rPr>
                              <w:rFonts w:ascii="Verdana" w:hAnsi="Verdana"/>
                              <w:color w:val="3B3B3A"/>
                              <w:sz w:val="14"/>
                              <w:szCs w:val="14"/>
                            </w:rPr>
                          </w:pPr>
                          <w:r w:rsidRPr="005F4BF8">
                            <w:rPr>
                              <w:rFonts w:ascii="Verdana" w:hAnsi="Verdana"/>
                              <w:color w:val="3B3B3A"/>
                              <w:sz w:val="14"/>
                              <w:szCs w:val="14"/>
                            </w:rPr>
                            <w:t>London WC2A 3SB</w:t>
                          </w:r>
                        </w:p>
                        <w:p w14:paraId="2B4544AE" w14:textId="624BA3C4" w:rsidR="00C759C7" w:rsidRPr="005F4BF8" w:rsidRDefault="00C759C7" w:rsidP="0057387F">
                          <w:pPr>
                            <w:rPr>
                              <w:rFonts w:ascii="Verdana" w:hAnsi="Verdana"/>
                              <w:color w:val="3B3B3A"/>
                              <w:sz w:val="14"/>
                              <w:szCs w:val="14"/>
                            </w:rPr>
                          </w:pPr>
                          <w:r w:rsidRPr="005F4BF8">
                            <w:rPr>
                              <w:rFonts w:ascii="Verdana" w:hAnsi="Verdana"/>
                              <w:color w:val="3B3B3A"/>
                              <w:sz w:val="14"/>
                              <w:szCs w:val="14"/>
                            </w:rPr>
                            <w:t>DX: LDE 393</w:t>
                          </w:r>
                        </w:p>
                      </w:tc>
                      <w:tc>
                        <w:tcPr>
                          <w:tcW w:w="2551" w:type="dxa"/>
                        </w:tcPr>
                        <w:p w14:paraId="24648B9D" w14:textId="77777777" w:rsidR="00C759C7" w:rsidRPr="005F4BF8" w:rsidRDefault="00C759C7">
                          <w:pPr>
                            <w:tabs>
                              <w:tab w:val="left" w:pos="310"/>
                            </w:tabs>
                            <w:rPr>
                              <w:rFonts w:ascii="Verdana" w:hAnsi="Verdana"/>
                              <w:color w:val="3B3B3A"/>
                              <w:sz w:val="14"/>
                              <w:szCs w:val="14"/>
                            </w:rPr>
                          </w:pPr>
                          <w:r w:rsidRPr="005F4BF8">
                            <w:rPr>
                              <w:rFonts w:ascii="Verdana" w:hAnsi="Verdana"/>
                              <w:color w:val="D70826"/>
                              <w:sz w:val="14"/>
                              <w:szCs w:val="14"/>
                            </w:rPr>
                            <w:t>T</w:t>
                          </w:r>
                          <w:r w:rsidRPr="005F4BF8">
                            <w:rPr>
                              <w:rFonts w:ascii="Verdana" w:hAnsi="Verdana"/>
                              <w:color w:val="3B3B3A"/>
                              <w:sz w:val="14"/>
                              <w:szCs w:val="14"/>
                            </w:rPr>
                            <w:tab/>
                            <w:t>+44 (0) 20 7242 2523</w:t>
                          </w:r>
                        </w:p>
                        <w:p w14:paraId="73D35581" w14:textId="5520D0A8" w:rsidR="00C759C7" w:rsidRPr="005F4BF8" w:rsidRDefault="00C759C7">
                          <w:pPr>
                            <w:tabs>
                              <w:tab w:val="left" w:pos="310"/>
                            </w:tabs>
                            <w:rPr>
                              <w:rFonts w:ascii="Verdana" w:hAnsi="Verdana"/>
                              <w:color w:val="3B3B3A"/>
                              <w:sz w:val="14"/>
                              <w:szCs w:val="14"/>
                            </w:rPr>
                          </w:pPr>
                          <w:r w:rsidRPr="005F4BF8">
                            <w:rPr>
                              <w:rFonts w:ascii="Verdana" w:hAnsi="Verdana"/>
                              <w:color w:val="D70826"/>
                              <w:sz w:val="14"/>
                              <w:szCs w:val="14"/>
                            </w:rPr>
                            <w:t>E</w:t>
                          </w:r>
                          <w:r w:rsidRPr="005F4BF8">
                            <w:rPr>
                              <w:rFonts w:ascii="Verdana" w:hAnsi="Verdana"/>
                              <w:color w:val="3B3B3A"/>
                              <w:sz w:val="14"/>
                              <w:szCs w:val="14"/>
                            </w:rPr>
                            <w:tab/>
                            <w:t>enquiries@hardwicke.co.uk</w:t>
                          </w:r>
                        </w:p>
                        <w:p w14:paraId="70CD5287" w14:textId="77777777" w:rsidR="00C759C7" w:rsidRPr="005F4BF8" w:rsidRDefault="00C759C7">
                          <w:pPr>
                            <w:tabs>
                              <w:tab w:val="left" w:pos="310"/>
                            </w:tabs>
                            <w:rPr>
                              <w:rFonts w:ascii="Verdana" w:hAnsi="Verdana"/>
                              <w:color w:val="3B3B3A"/>
                              <w:sz w:val="14"/>
                              <w:szCs w:val="14"/>
                            </w:rPr>
                          </w:pPr>
                          <w:r w:rsidRPr="005F4BF8">
                            <w:rPr>
                              <w:rFonts w:ascii="Verdana" w:hAnsi="Verdana"/>
                              <w:color w:val="D70826"/>
                              <w:sz w:val="14"/>
                              <w:szCs w:val="14"/>
                            </w:rPr>
                            <w:t>W</w:t>
                          </w:r>
                          <w:r w:rsidRPr="005F4BF8">
                            <w:rPr>
                              <w:rFonts w:ascii="Verdana" w:hAnsi="Verdana"/>
                              <w:color w:val="3B3B3A"/>
                              <w:sz w:val="14"/>
                              <w:szCs w:val="14"/>
                            </w:rPr>
                            <w:tab/>
                            <w:t>hardwicke.co.uk</w:t>
                          </w:r>
                        </w:p>
                        <w:p w14:paraId="1B689B82" w14:textId="229B9E46" w:rsidR="00C759C7" w:rsidRPr="005F4BF8" w:rsidRDefault="00C759C7">
                          <w:pPr>
                            <w:tabs>
                              <w:tab w:val="left" w:pos="310"/>
                            </w:tabs>
                            <w:rPr>
                              <w:rFonts w:ascii="Verdana" w:hAnsi="Verdana"/>
                              <w:color w:val="3B3B3A"/>
                              <w:sz w:val="14"/>
                              <w:szCs w:val="14"/>
                            </w:rPr>
                          </w:pPr>
                          <w:r w:rsidRPr="005F4BF8">
                            <w:rPr>
                              <w:rFonts w:ascii="Verdana" w:hAnsi="Verdana"/>
                              <w:noProof/>
                              <w:color w:val="3B3B3A"/>
                              <w:sz w:val="14"/>
                              <w:szCs w:val="14"/>
                              <w:lang w:val="en-US"/>
                            </w:rPr>
                            <w:drawing>
                              <wp:inline distT="0" distB="0" distL="0" distR="0" wp14:anchorId="72B2D027" wp14:editId="6A7EEEEC">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d twitter bird.png"/>
                                        <pic:cNvPicPr/>
                                      </pic:nvPicPr>
                                      <pic:blipFill>
                                        <a:blip r:embed="rId1">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005F4BF8">
                            <w:rPr>
                              <w:rFonts w:ascii="Verdana" w:hAnsi="Verdana"/>
                              <w:color w:val="3B3B3A"/>
                              <w:sz w:val="14"/>
                              <w:szCs w:val="14"/>
                            </w:rPr>
                            <w:tab/>
                            <w:t>@hardwickelaw</w:t>
                          </w:r>
                        </w:p>
                      </w:tc>
                    </w:tr>
                    <w:tr w:rsidR="00C759C7" w:rsidRPr="005F4BF8" w14:paraId="6C5E619E" w14:textId="77777777" w:rsidTr="00A41205">
                      <w:tc>
                        <w:tcPr>
                          <w:tcW w:w="5103" w:type="dxa"/>
                          <w:gridSpan w:val="2"/>
                        </w:tcPr>
                        <w:p w14:paraId="15A063DE" w14:textId="77777777" w:rsidR="00C759C7" w:rsidRPr="005F4BF8" w:rsidRDefault="00C759C7">
                          <w:pPr>
                            <w:rPr>
                              <w:rFonts w:ascii="Verdana" w:hAnsi="Verdana"/>
                              <w:color w:val="3B3B3A"/>
                              <w:sz w:val="14"/>
                              <w:szCs w:val="14"/>
                            </w:rPr>
                          </w:pPr>
                        </w:p>
                        <w:p w14:paraId="7EC87C88" w14:textId="452400A8" w:rsidR="00C759C7" w:rsidRPr="005F4BF8" w:rsidRDefault="00C759C7">
                          <w:pPr>
                            <w:rPr>
                              <w:rFonts w:ascii="Verdana" w:hAnsi="Verdana"/>
                              <w:color w:val="3B3B3A"/>
                              <w:sz w:val="14"/>
                              <w:szCs w:val="14"/>
                            </w:rPr>
                          </w:pPr>
                          <w:r w:rsidRPr="005F4BF8">
                            <w:rPr>
                              <w:rFonts w:ascii="Verdana" w:hAnsi="Verdana"/>
                              <w:color w:val="3B3B3A"/>
                              <w:sz w:val="14"/>
                              <w:szCs w:val="14"/>
                            </w:rPr>
                            <w:t>Barristers regulated by the Bar Standards Board</w:t>
                          </w:r>
                        </w:p>
                      </w:tc>
                    </w:tr>
                  </w:tbl>
                  <w:p w14:paraId="5E04CCEF" w14:textId="085BC914" w:rsidR="00C759C7" w:rsidRPr="005F4BF8" w:rsidRDefault="00C759C7">
                    <w:pPr>
                      <w:rPr>
                        <w:rFonts w:ascii="Verdana" w:hAnsi="Verdana"/>
                        <w:sz w:val="2"/>
                        <w:szCs w:val="2"/>
                      </w:rPr>
                    </w:pPr>
                  </w:p>
                </w:txbxContent>
              </v:textbox>
              <w10:wrap type="square" anchorx="margin" anchory="page"/>
              <w10:anchorlock/>
            </v:shape>
          </w:pict>
        </mc:Fallback>
      </mc:AlternateContent>
    </w:r>
    <w:r>
      <w:rPr>
        <w:noProof/>
        <w:sz w:val="17"/>
        <w:szCs w:val="17"/>
        <w:lang w:val="en-US"/>
      </w:rPr>
      <w:drawing>
        <wp:anchor distT="0" distB="0" distL="114300" distR="114300" simplePos="0" relativeHeight="251659264" behindDoc="0" locked="1" layoutInCell="1" allowOverlap="1" wp14:anchorId="3C598154" wp14:editId="6FA975BD">
          <wp:simplePos x="0" y="0"/>
          <wp:positionH relativeFrom="margin">
            <wp:align>left</wp:align>
          </wp:positionH>
          <wp:positionV relativeFrom="page">
            <wp:posOffset>439420</wp:posOffset>
          </wp:positionV>
          <wp:extent cx="2163600" cy="352800"/>
          <wp:effectExtent l="0" t="0" r="0" b="9525"/>
          <wp:wrapNone/>
          <wp:docPr id="1" name="Picture 1" descr="Hardwick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wicke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36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7"/>
        <w:szCs w:val="17"/>
        <w:lang w:val="en-US"/>
      </w:rPr>
      <mc:AlternateContent>
        <mc:Choice Requires="wps">
          <w:drawing>
            <wp:anchor distT="0" distB="0" distL="114300" distR="114300" simplePos="0" relativeHeight="251661312" behindDoc="0" locked="1" layoutInCell="1" allowOverlap="1" wp14:anchorId="4EB7B1A0" wp14:editId="1A6D8F80">
              <wp:simplePos x="0" y="0"/>
              <wp:positionH relativeFrom="column">
                <wp:posOffset>-1083945</wp:posOffset>
              </wp:positionH>
              <wp:positionV relativeFrom="page">
                <wp:posOffset>-791845</wp:posOffset>
              </wp:positionV>
              <wp:extent cx="8172000" cy="990000"/>
              <wp:effectExtent l="0" t="0" r="635" b="635"/>
              <wp:wrapNone/>
              <wp:docPr id="4" name="Rectangle 4"/>
              <wp:cNvGraphicFramePr/>
              <a:graphic xmlns:a="http://schemas.openxmlformats.org/drawingml/2006/main">
                <a:graphicData uri="http://schemas.microsoft.com/office/word/2010/wordprocessingShape">
                  <wps:wsp>
                    <wps:cNvSpPr/>
                    <wps:spPr>
                      <a:xfrm>
                        <a:off x="0" y="0"/>
                        <a:ext cx="8172000" cy="990000"/>
                      </a:xfrm>
                      <a:prstGeom prst="rect">
                        <a:avLst/>
                      </a:prstGeom>
                      <a:solidFill>
                        <a:srgbClr val="D708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BCBCD" id="Rectangle 4" o:spid="_x0000_s1026" style="position:absolute;margin-left:-85.35pt;margin-top:-62.35pt;width:643.45pt;height:7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" fillcolor="#d70826" stroked="f" strokeweight="1pt">
              <w10:wrap anchory="page"/>
              <w10:anchorlock/>
            </v:rect>
          </w:pict>
        </mc:Fallback>
      </mc:AlternateContent>
    </w:r>
    <w:r>
      <w:rPr>
        <w:noProof/>
        <w:sz w:val="17"/>
        <w:szCs w:val="17"/>
        <w:lang w:val="en-US"/>
      </w:rPr>
      <mc:AlternateContent>
        <mc:Choice Requires="wps">
          <w:drawing>
            <wp:anchor distT="0" distB="0" distL="114300" distR="114300" simplePos="0" relativeHeight="251660288" behindDoc="1" locked="1" layoutInCell="1" allowOverlap="1" wp14:anchorId="35537C09" wp14:editId="4AAD53E2">
              <wp:simplePos x="0" y="0"/>
              <wp:positionH relativeFrom="column">
                <wp:posOffset>-1443990</wp:posOffset>
              </wp:positionH>
              <wp:positionV relativeFrom="page">
                <wp:posOffset>-39370</wp:posOffset>
              </wp:positionV>
              <wp:extent cx="8647200" cy="1267200"/>
              <wp:effectExtent l="0" t="0" r="1905" b="9525"/>
              <wp:wrapNone/>
              <wp:docPr id="3" name="Rectangle 3"/>
              <wp:cNvGraphicFramePr/>
              <a:graphic xmlns:a="http://schemas.openxmlformats.org/drawingml/2006/main">
                <a:graphicData uri="http://schemas.microsoft.com/office/word/2010/wordprocessingShape">
                  <wps:wsp>
                    <wps:cNvSpPr/>
                    <wps:spPr>
                      <a:xfrm>
                        <a:off x="0" y="0"/>
                        <a:ext cx="8647200" cy="1267200"/>
                      </a:xfrm>
                      <a:prstGeom prst="rect">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56EDD" id="Rectangle 3" o:spid="_x0000_s1026" style="position:absolute;margin-left:-113.7pt;margin-top:-3.1pt;width:680.9pt;height:9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" fillcolor="#ececec" stroked="f" strokeweight="1pt">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561F"/>
    <w:multiLevelType w:val="hybridMultilevel"/>
    <w:tmpl w:val="ABD22D2C"/>
    <w:lvl w:ilvl="0" w:tplc="A8A084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9433B"/>
    <w:multiLevelType w:val="hybridMultilevel"/>
    <w:tmpl w:val="F2D2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45175"/>
    <w:multiLevelType w:val="hybridMultilevel"/>
    <w:tmpl w:val="D900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902F9"/>
    <w:multiLevelType w:val="hybridMultilevel"/>
    <w:tmpl w:val="7E947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8325F"/>
    <w:multiLevelType w:val="hybridMultilevel"/>
    <w:tmpl w:val="5C28C4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D175877"/>
    <w:multiLevelType w:val="hybridMultilevel"/>
    <w:tmpl w:val="0FA69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7E1AF4"/>
    <w:multiLevelType w:val="hybridMultilevel"/>
    <w:tmpl w:val="5396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2C335B"/>
    <w:multiLevelType w:val="hybridMultilevel"/>
    <w:tmpl w:val="01E636AE"/>
    <w:lvl w:ilvl="0" w:tplc="7712748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616C45FF"/>
    <w:multiLevelType w:val="hybridMultilevel"/>
    <w:tmpl w:val="F426E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B1612"/>
    <w:multiLevelType w:val="hybridMultilevel"/>
    <w:tmpl w:val="D2FED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5635472"/>
    <w:multiLevelType w:val="hybridMultilevel"/>
    <w:tmpl w:val="CB4A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5"/>
  </w:num>
  <w:num w:numId="5">
    <w:abstractNumId w:val="1"/>
  </w:num>
  <w:num w:numId="6">
    <w:abstractNumId w:val="4"/>
  </w:num>
  <w:num w:numId="7">
    <w:abstractNumId w:val="6"/>
  </w:num>
  <w:num w:numId="8">
    <w:abstractNumId w:val="7"/>
  </w:num>
  <w:num w:numId="9">
    <w:abstractNumId w:val="9"/>
  </w:num>
  <w:num w:numId="10">
    <w:abstractNumId w:val="3"/>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7F"/>
    <w:rsid w:val="000037C1"/>
    <w:rsid w:val="00021826"/>
    <w:rsid w:val="00023F1D"/>
    <w:rsid w:val="00042C49"/>
    <w:rsid w:val="00042F01"/>
    <w:rsid w:val="00060226"/>
    <w:rsid w:val="000611B9"/>
    <w:rsid w:val="00071810"/>
    <w:rsid w:val="000977F1"/>
    <w:rsid w:val="000A6038"/>
    <w:rsid w:val="000A7EFF"/>
    <w:rsid w:val="000B4D2E"/>
    <w:rsid w:val="000D6E5B"/>
    <w:rsid w:val="000E211D"/>
    <w:rsid w:val="000F3EC4"/>
    <w:rsid w:val="00151134"/>
    <w:rsid w:val="00155408"/>
    <w:rsid w:val="001558FA"/>
    <w:rsid w:val="0015625D"/>
    <w:rsid w:val="00160A18"/>
    <w:rsid w:val="001743FE"/>
    <w:rsid w:val="0017636A"/>
    <w:rsid w:val="001805FE"/>
    <w:rsid w:val="0018553A"/>
    <w:rsid w:val="00193830"/>
    <w:rsid w:val="001C54B7"/>
    <w:rsid w:val="001D2B72"/>
    <w:rsid w:val="001D2D4F"/>
    <w:rsid w:val="001E3C01"/>
    <w:rsid w:val="00212B38"/>
    <w:rsid w:val="002175EF"/>
    <w:rsid w:val="002A549C"/>
    <w:rsid w:val="002D1A10"/>
    <w:rsid w:val="002E253A"/>
    <w:rsid w:val="002E5C2B"/>
    <w:rsid w:val="00354D72"/>
    <w:rsid w:val="00371ECF"/>
    <w:rsid w:val="0038530C"/>
    <w:rsid w:val="003925C5"/>
    <w:rsid w:val="003C2065"/>
    <w:rsid w:val="003C3DD1"/>
    <w:rsid w:val="003D69C5"/>
    <w:rsid w:val="003D6B02"/>
    <w:rsid w:val="00401605"/>
    <w:rsid w:val="00410092"/>
    <w:rsid w:val="00410106"/>
    <w:rsid w:val="0041227B"/>
    <w:rsid w:val="00416466"/>
    <w:rsid w:val="004175AB"/>
    <w:rsid w:val="00430AF0"/>
    <w:rsid w:val="00441B78"/>
    <w:rsid w:val="00443EB9"/>
    <w:rsid w:val="00454BEB"/>
    <w:rsid w:val="004647B7"/>
    <w:rsid w:val="00480E0B"/>
    <w:rsid w:val="00483223"/>
    <w:rsid w:val="00485A5D"/>
    <w:rsid w:val="00496B5C"/>
    <w:rsid w:val="00496E43"/>
    <w:rsid w:val="004B1F21"/>
    <w:rsid w:val="004B365B"/>
    <w:rsid w:val="004D08D4"/>
    <w:rsid w:val="004D2D27"/>
    <w:rsid w:val="004E0878"/>
    <w:rsid w:val="005145E7"/>
    <w:rsid w:val="0053320F"/>
    <w:rsid w:val="0057387F"/>
    <w:rsid w:val="00573FB7"/>
    <w:rsid w:val="005848E3"/>
    <w:rsid w:val="005930D2"/>
    <w:rsid w:val="005A4101"/>
    <w:rsid w:val="005A6C84"/>
    <w:rsid w:val="005A7CF6"/>
    <w:rsid w:val="005B0B6F"/>
    <w:rsid w:val="005E65C0"/>
    <w:rsid w:val="005F07D4"/>
    <w:rsid w:val="005F0AD1"/>
    <w:rsid w:val="005F166B"/>
    <w:rsid w:val="005F4BF8"/>
    <w:rsid w:val="005F51C8"/>
    <w:rsid w:val="006203B9"/>
    <w:rsid w:val="00620493"/>
    <w:rsid w:val="0063020A"/>
    <w:rsid w:val="00632D1D"/>
    <w:rsid w:val="00637209"/>
    <w:rsid w:val="00643E72"/>
    <w:rsid w:val="00660F87"/>
    <w:rsid w:val="006678B9"/>
    <w:rsid w:val="00675D08"/>
    <w:rsid w:val="006904A5"/>
    <w:rsid w:val="006A61E4"/>
    <w:rsid w:val="006B0FB6"/>
    <w:rsid w:val="006E00A8"/>
    <w:rsid w:val="006E5589"/>
    <w:rsid w:val="006F2952"/>
    <w:rsid w:val="00727357"/>
    <w:rsid w:val="00732011"/>
    <w:rsid w:val="00756396"/>
    <w:rsid w:val="00767AA8"/>
    <w:rsid w:val="00776E2A"/>
    <w:rsid w:val="00790EDE"/>
    <w:rsid w:val="007A0CDE"/>
    <w:rsid w:val="007B6402"/>
    <w:rsid w:val="007D04B6"/>
    <w:rsid w:val="007D4BEF"/>
    <w:rsid w:val="007E1DF5"/>
    <w:rsid w:val="007E3C1D"/>
    <w:rsid w:val="00813350"/>
    <w:rsid w:val="008306AC"/>
    <w:rsid w:val="00832931"/>
    <w:rsid w:val="00895753"/>
    <w:rsid w:val="008B1F80"/>
    <w:rsid w:val="008D6950"/>
    <w:rsid w:val="008F1F71"/>
    <w:rsid w:val="008F5890"/>
    <w:rsid w:val="009111EB"/>
    <w:rsid w:val="009128A9"/>
    <w:rsid w:val="00940033"/>
    <w:rsid w:val="009708CB"/>
    <w:rsid w:val="00990D71"/>
    <w:rsid w:val="009E4A0B"/>
    <w:rsid w:val="009E4D9E"/>
    <w:rsid w:val="009F47E2"/>
    <w:rsid w:val="00A17350"/>
    <w:rsid w:val="00A20DE7"/>
    <w:rsid w:val="00A36537"/>
    <w:rsid w:val="00A41205"/>
    <w:rsid w:val="00A43FC1"/>
    <w:rsid w:val="00A557CB"/>
    <w:rsid w:val="00A67693"/>
    <w:rsid w:val="00A72162"/>
    <w:rsid w:val="00A97676"/>
    <w:rsid w:val="00AA0CE0"/>
    <w:rsid w:val="00AA1DDC"/>
    <w:rsid w:val="00AB670B"/>
    <w:rsid w:val="00AD07D6"/>
    <w:rsid w:val="00AD2F70"/>
    <w:rsid w:val="00AE6791"/>
    <w:rsid w:val="00AF325A"/>
    <w:rsid w:val="00B254D9"/>
    <w:rsid w:val="00B25F99"/>
    <w:rsid w:val="00B51529"/>
    <w:rsid w:val="00B52B9E"/>
    <w:rsid w:val="00B54D3A"/>
    <w:rsid w:val="00B55011"/>
    <w:rsid w:val="00B552E3"/>
    <w:rsid w:val="00B57427"/>
    <w:rsid w:val="00B75585"/>
    <w:rsid w:val="00BA1DEA"/>
    <w:rsid w:val="00BD74A4"/>
    <w:rsid w:val="00BF40D6"/>
    <w:rsid w:val="00C10E65"/>
    <w:rsid w:val="00C33F68"/>
    <w:rsid w:val="00C4252E"/>
    <w:rsid w:val="00C5619C"/>
    <w:rsid w:val="00C64127"/>
    <w:rsid w:val="00C759C7"/>
    <w:rsid w:val="00C8492B"/>
    <w:rsid w:val="00CA2BD4"/>
    <w:rsid w:val="00CB5F1A"/>
    <w:rsid w:val="00CD500F"/>
    <w:rsid w:val="00CF12BD"/>
    <w:rsid w:val="00D2281E"/>
    <w:rsid w:val="00D360F5"/>
    <w:rsid w:val="00D42038"/>
    <w:rsid w:val="00D6097E"/>
    <w:rsid w:val="00D64172"/>
    <w:rsid w:val="00D7347F"/>
    <w:rsid w:val="00D742AD"/>
    <w:rsid w:val="00D74C5A"/>
    <w:rsid w:val="00D761B9"/>
    <w:rsid w:val="00D9773A"/>
    <w:rsid w:val="00DA3876"/>
    <w:rsid w:val="00DB5C86"/>
    <w:rsid w:val="00DD7F6A"/>
    <w:rsid w:val="00E024C1"/>
    <w:rsid w:val="00E271C7"/>
    <w:rsid w:val="00E279E9"/>
    <w:rsid w:val="00E40ADE"/>
    <w:rsid w:val="00E5248A"/>
    <w:rsid w:val="00E657AD"/>
    <w:rsid w:val="00E83E87"/>
    <w:rsid w:val="00E90F53"/>
    <w:rsid w:val="00EA0288"/>
    <w:rsid w:val="00EB591A"/>
    <w:rsid w:val="00EF2F4E"/>
    <w:rsid w:val="00F14188"/>
    <w:rsid w:val="00F142CD"/>
    <w:rsid w:val="00F30709"/>
    <w:rsid w:val="00F35CC2"/>
    <w:rsid w:val="00F62B8D"/>
    <w:rsid w:val="00F65CEA"/>
    <w:rsid w:val="00F866C9"/>
    <w:rsid w:val="00F9106A"/>
    <w:rsid w:val="00FA236A"/>
    <w:rsid w:val="00FA72DE"/>
    <w:rsid w:val="00FC5FDB"/>
    <w:rsid w:val="00FD7E83"/>
    <w:rsid w:val="00FE6CD5"/>
    <w:rsid w:val="00FF07EA"/>
    <w:rsid w:val="00FF419B"/>
    <w:rsid w:val="013DD774"/>
    <w:rsid w:val="017CF5C1"/>
    <w:rsid w:val="028E136C"/>
    <w:rsid w:val="02E63800"/>
    <w:rsid w:val="0340DA28"/>
    <w:rsid w:val="03B097D5"/>
    <w:rsid w:val="056EA315"/>
    <w:rsid w:val="058A8806"/>
    <w:rsid w:val="05BDE1E1"/>
    <w:rsid w:val="0853720C"/>
    <w:rsid w:val="08B41B57"/>
    <w:rsid w:val="09A54B48"/>
    <w:rsid w:val="0AD39B2D"/>
    <w:rsid w:val="0B5383EF"/>
    <w:rsid w:val="0B8F5DF8"/>
    <w:rsid w:val="0BB861C9"/>
    <w:rsid w:val="0C7E9122"/>
    <w:rsid w:val="0D1CE094"/>
    <w:rsid w:val="0E0B8586"/>
    <w:rsid w:val="0E2D2082"/>
    <w:rsid w:val="0E858F27"/>
    <w:rsid w:val="0F6E443D"/>
    <w:rsid w:val="10540754"/>
    <w:rsid w:val="1086EF08"/>
    <w:rsid w:val="12120506"/>
    <w:rsid w:val="13F57EEA"/>
    <w:rsid w:val="14777F42"/>
    <w:rsid w:val="158D5EB6"/>
    <w:rsid w:val="15ECB3F6"/>
    <w:rsid w:val="15FA870C"/>
    <w:rsid w:val="160F3DD2"/>
    <w:rsid w:val="164FC883"/>
    <w:rsid w:val="1673DDE2"/>
    <w:rsid w:val="1722A01C"/>
    <w:rsid w:val="174CC1C0"/>
    <w:rsid w:val="17EDFF8A"/>
    <w:rsid w:val="1838810D"/>
    <w:rsid w:val="192FCA6A"/>
    <w:rsid w:val="1B7430EA"/>
    <w:rsid w:val="1C2DEF93"/>
    <w:rsid w:val="1D460889"/>
    <w:rsid w:val="1E1E5531"/>
    <w:rsid w:val="1E8D7DE6"/>
    <w:rsid w:val="1EF9E72A"/>
    <w:rsid w:val="1F7A9292"/>
    <w:rsid w:val="1FCC445B"/>
    <w:rsid w:val="20CEDFCC"/>
    <w:rsid w:val="20D223A0"/>
    <w:rsid w:val="2142E345"/>
    <w:rsid w:val="23B1C0F6"/>
    <w:rsid w:val="2549BC9D"/>
    <w:rsid w:val="263012FF"/>
    <w:rsid w:val="2682FC24"/>
    <w:rsid w:val="26BCCE9B"/>
    <w:rsid w:val="274DD33B"/>
    <w:rsid w:val="278A9EEC"/>
    <w:rsid w:val="2791669B"/>
    <w:rsid w:val="286046AF"/>
    <w:rsid w:val="291DFB9E"/>
    <w:rsid w:val="29ED6851"/>
    <w:rsid w:val="2AC84906"/>
    <w:rsid w:val="2D630F6C"/>
    <w:rsid w:val="2E59ABD3"/>
    <w:rsid w:val="2F9E00C8"/>
    <w:rsid w:val="2FECED99"/>
    <w:rsid w:val="301A0414"/>
    <w:rsid w:val="302C10E7"/>
    <w:rsid w:val="303F0007"/>
    <w:rsid w:val="3208EF02"/>
    <w:rsid w:val="3266A53F"/>
    <w:rsid w:val="335CA8A2"/>
    <w:rsid w:val="33C319FC"/>
    <w:rsid w:val="33D5DD64"/>
    <w:rsid w:val="34786ADC"/>
    <w:rsid w:val="35094DFB"/>
    <w:rsid w:val="35924E51"/>
    <w:rsid w:val="35DF384B"/>
    <w:rsid w:val="365E286F"/>
    <w:rsid w:val="37F4C485"/>
    <w:rsid w:val="382BF740"/>
    <w:rsid w:val="389F5E97"/>
    <w:rsid w:val="3957F89B"/>
    <w:rsid w:val="39F1DF6E"/>
    <w:rsid w:val="3A51BEB6"/>
    <w:rsid w:val="3AA5DC00"/>
    <w:rsid w:val="3AB4EBFA"/>
    <w:rsid w:val="3B68A074"/>
    <w:rsid w:val="3BD662B9"/>
    <w:rsid w:val="3C21EB33"/>
    <w:rsid w:val="3CA521EE"/>
    <w:rsid w:val="3D2F489C"/>
    <w:rsid w:val="3D841B3C"/>
    <w:rsid w:val="3DF934BC"/>
    <w:rsid w:val="3E64AC79"/>
    <w:rsid w:val="3E884CB7"/>
    <w:rsid w:val="3F54F0E9"/>
    <w:rsid w:val="40346D1B"/>
    <w:rsid w:val="40CC8716"/>
    <w:rsid w:val="4177414C"/>
    <w:rsid w:val="42D738A7"/>
    <w:rsid w:val="43321A97"/>
    <w:rsid w:val="43CFB362"/>
    <w:rsid w:val="44BB05C2"/>
    <w:rsid w:val="44E5D690"/>
    <w:rsid w:val="46765620"/>
    <w:rsid w:val="470C35D4"/>
    <w:rsid w:val="47384EE2"/>
    <w:rsid w:val="478B48CC"/>
    <w:rsid w:val="4A336F34"/>
    <w:rsid w:val="4A952317"/>
    <w:rsid w:val="4B178D59"/>
    <w:rsid w:val="4C83E39C"/>
    <w:rsid w:val="4CD00472"/>
    <w:rsid w:val="4DBAC0EB"/>
    <w:rsid w:val="4E0308A4"/>
    <w:rsid w:val="4E333520"/>
    <w:rsid w:val="5041B061"/>
    <w:rsid w:val="5065CF9C"/>
    <w:rsid w:val="5066A625"/>
    <w:rsid w:val="5220A56D"/>
    <w:rsid w:val="5221BA72"/>
    <w:rsid w:val="527E266C"/>
    <w:rsid w:val="5422A830"/>
    <w:rsid w:val="544F651B"/>
    <w:rsid w:val="5457FFF3"/>
    <w:rsid w:val="546CAD30"/>
    <w:rsid w:val="546E7392"/>
    <w:rsid w:val="54D94945"/>
    <w:rsid w:val="556ABF07"/>
    <w:rsid w:val="559A36F6"/>
    <w:rsid w:val="55DA52CA"/>
    <w:rsid w:val="5603DDD4"/>
    <w:rsid w:val="57098780"/>
    <w:rsid w:val="5750351B"/>
    <w:rsid w:val="57AF8456"/>
    <w:rsid w:val="5902D81D"/>
    <w:rsid w:val="59695F63"/>
    <w:rsid w:val="5973AC53"/>
    <w:rsid w:val="598C17A9"/>
    <w:rsid w:val="5B40B6DB"/>
    <w:rsid w:val="5B7F2065"/>
    <w:rsid w:val="5CF0DB7C"/>
    <w:rsid w:val="5D8A054C"/>
    <w:rsid w:val="5F35ED27"/>
    <w:rsid w:val="5F7DFD82"/>
    <w:rsid w:val="608199F9"/>
    <w:rsid w:val="636D2807"/>
    <w:rsid w:val="63C2F258"/>
    <w:rsid w:val="6422FB95"/>
    <w:rsid w:val="6495F5B6"/>
    <w:rsid w:val="652C385E"/>
    <w:rsid w:val="653A447E"/>
    <w:rsid w:val="65576D8C"/>
    <w:rsid w:val="66467ABB"/>
    <w:rsid w:val="666794CE"/>
    <w:rsid w:val="68A7C173"/>
    <w:rsid w:val="68F5E74E"/>
    <w:rsid w:val="6930530A"/>
    <w:rsid w:val="69C948D8"/>
    <w:rsid w:val="6B52121E"/>
    <w:rsid w:val="6C000C68"/>
    <w:rsid w:val="6CD5F00E"/>
    <w:rsid w:val="6D4F2EA0"/>
    <w:rsid w:val="6DC39DE0"/>
    <w:rsid w:val="6DCEA29C"/>
    <w:rsid w:val="6E695D0A"/>
    <w:rsid w:val="7094C104"/>
    <w:rsid w:val="7257C958"/>
    <w:rsid w:val="731001FC"/>
    <w:rsid w:val="7334E350"/>
    <w:rsid w:val="736B1FDC"/>
    <w:rsid w:val="73A0E926"/>
    <w:rsid w:val="74C552D7"/>
    <w:rsid w:val="75493F15"/>
    <w:rsid w:val="75E3C0BC"/>
    <w:rsid w:val="7618A24C"/>
    <w:rsid w:val="762826AE"/>
    <w:rsid w:val="76F4881C"/>
    <w:rsid w:val="77438794"/>
    <w:rsid w:val="78549500"/>
    <w:rsid w:val="79BA62B6"/>
    <w:rsid w:val="79DD76DD"/>
    <w:rsid w:val="79E2D139"/>
    <w:rsid w:val="7AB6236F"/>
    <w:rsid w:val="7B8FF4FA"/>
    <w:rsid w:val="7BE3D885"/>
    <w:rsid w:val="7C11A920"/>
    <w:rsid w:val="7C3741B0"/>
    <w:rsid w:val="7C537410"/>
    <w:rsid w:val="7C8937A0"/>
    <w:rsid w:val="7CDD177A"/>
    <w:rsid w:val="7CDFE2BC"/>
    <w:rsid w:val="7DC855AD"/>
    <w:rsid w:val="7DFE9034"/>
    <w:rsid w:val="7E3D2DC9"/>
    <w:rsid w:val="7EB4C0D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6F4BB8"/>
  <w15:docId w15:val="{ABB34EA2-81E3-4013-9B48-BA5E3DC8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931"/>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87F"/>
  </w:style>
  <w:style w:type="paragraph" w:styleId="Footer">
    <w:name w:val="footer"/>
    <w:basedOn w:val="Normal"/>
    <w:link w:val="FooterChar"/>
    <w:uiPriority w:val="99"/>
    <w:unhideWhenUsed/>
    <w:rsid w:val="00573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87F"/>
  </w:style>
  <w:style w:type="paragraph" w:styleId="NoSpacing">
    <w:name w:val="No Spacing"/>
    <w:uiPriority w:val="1"/>
    <w:qFormat/>
    <w:rsid w:val="0057387F"/>
    <w:pPr>
      <w:spacing w:after="0" w:line="240" w:lineRule="auto"/>
    </w:pPr>
  </w:style>
  <w:style w:type="table" w:styleId="TableGrid">
    <w:name w:val="Table Grid"/>
    <w:basedOn w:val="TableNormal"/>
    <w:uiPriority w:val="39"/>
    <w:rsid w:val="00573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87F"/>
    <w:rPr>
      <w:color w:val="0563C1" w:themeColor="hyperlink"/>
      <w:u w:val="single"/>
    </w:rPr>
  </w:style>
  <w:style w:type="character" w:customStyle="1" w:styleId="UnresolvedMention1">
    <w:name w:val="Unresolved Mention1"/>
    <w:basedOn w:val="DefaultParagraphFont"/>
    <w:uiPriority w:val="99"/>
    <w:semiHidden/>
    <w:unhideWhenUsed/>
    <w:rsid w:val="0057387F"/>
    <w:rPr>
      <w:color w:val="605E5C"/>
      <w:shd w:val="clear" w:color="auto" w:fill="E1DFDD"/>
    </w:rPr>
  </w:style>
  <w:style w:type="paragraph" w:styleId="ListParagraph">
    <w:name w:val="List Paragraph"/>
    <w:basedOn w:val="Normal"/>
    <w:uiPriority w:val="34"/>
    <w:qFormat/>
    <w:rsid w:val="00832931"/>
    <w:pPr>
      <w:ind w:left="720"/>
      <w:contextualSpacing/>
    </w:pPr>
  </w:style>
  <w:style w:type="character" w:styleId="FollowedHyperlink">
    <w:name w:val="FollowedHyperlink"/>
    <w:basedOn w:val="DefaultParagraphFont"/>
    <w:uiPriority w:val="99"/>
    <w:semiHidden/>
    <w:unhideWhenUsed/>
    <w:rsid w:val="00D6097E"/>
    <w:rPr>
      <w:color w:val="954F72" w:themeColor="followedHyperlink"/>
      <w:u w:val="single"/>
    </w:rPr>
  </w:style>
  <w:style w:type="paragraph" w:styleId="BalloonText">
    <w:name w:val="Balloon Text"/>
    <w:basedOn w:val="Normal"/>
    <w:link w:val="BalloonTextChar"/>
    <w:uiPriority w:val="99"/>
    <w:semiHidden/>
    <w:unhideWhenUsed/>
    <w:rsid w:val="00174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3FE"/>
    <w:rPr>
      <w:rFonts w:ascii="Segoe UI" w:hAnsi="Segoe UI" w:cs="Segoe UI"/>
      <w:sz w:val="18"/>
      <w:szCs w:val="18"/>
      <w:lang w:bidi="ar-SA"/>
    </w:rPr>
  </w:style>
  <w:style w:type="paragraph" w:customStyle="1" w:styleId="Body">
    <w:name w:val="Body"/>
    <w:rsid w:val="006F295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bidi="ar-SA"/>
      <w14:textOutline w14:w="0" w14:cap="flat" w14:cmpd="sng" w14:algn="ctr">
        <w14:noFill/>
        <w14:prstDash w14:val="solid"/>
        <w14:bevel/>
      </w14:textOutline>
    </w:rPr>
  </w:style>
  <w:style w:type="paragraph" w:customStyle="1" w:styleId="Footnote">
    <w:name w:val="Footnote"/>
    <w:rsid w:val="006F295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bidi="ar-SA"/>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7D04B6"/>
    <w:rPr>
      <w:color w:val="605E5C"/>
      <w:shd w:val="clear" w:color="auto" w:fill="E1DFDD"/>
    </w:rPr>
  </w:style>
  <w:style w:type="paragraph" w:styleId="NormalWeb">
    <w:name w:val="Normal (Web)"/>
    <w:basedOn w:val="Normal"/>
    <w:uiPriority w:val="99"/>
    <w:semiHidden/>
    <w:unhideWhenUsed/>
    <w:rsid w:val="0015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msonormal"/>
    <w:basedOn w:val="Normal"/>
    <w:rsid w:val="00371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D50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00F"/>
    <w:rPr>
      <w:sz w:val="20"/>
      <w:szCs w:val="20"/>
      <w:lang w:bidi="ar-SA"/>
    </w:rPr>
  </w:style>
  <w:style w:type="character" w:styleId="FootnoteReference">
    <w:name w:val="footnote reference"/>
    <w:basedOn w:val="DefaultParagraphFont"/>
    <w:uiPriority w:val="99"/>
    <w:semiHidden/>
    <w:unhideWhenUsed/>
    <w:rsid w:val="00CD500F"/>
    <w:rPr>
      <w:vertAlign w:val="superscript"/>
    </w:rPr>
  </w:style>
  <w:style w:type="paragraph" w:customStyle="1" w:styleId="p64x9c">
    <w:name w:val="p64x9c"/>
    <w:basedOn w:val="Normal"/>
    <w:rsid w:val="00CD500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0389">
      <w:bodyDiv w:val="1"/>
      <w:marLeft w:val="0"/>
      <w:marRight w:val="0"/>
      <w:marTop w:val="0"/>
      <w:marBottom w:val="0"/>
      <w:divBdr>
        <w:top w:val="none" w:sz="0" w:space="0" w:color="auto"/>
        <w:left w:val="none" w:sz="0" w:space="0" w:color="auto"/>
        <w:bottom w:val="none" w:sz="0" w:space="0" w:color="auto"/>
        <w:right w:val="none" w:sz="0" w:space="0" w:color="auto"/>
      </w:divBdr>
    </w:div>
    <w:div w:id="16010622">
      <w:bodyDiv w:val="1"/>
      <w:marLeft w:val="0"/>
      <w:marRight w:val="0"/>
      <w:marTop w:val="0"/>
      <w:marBottom w:val="0"/>
      <w:divBdr>
        <w:top w:val="none" w:sz="0" w:space="0" w:color="auto"/>
        <w:left w:val="none" w:sz="0" w:space="0" w:color="auto"/>
        <w:bottom w:val="none" w:sz="0" w:space="0" w:color="auto"/>
        <w:right w:val="none" w:sz="0" w:space="0" w:color="auto"/>
      </w:divBdr>
    </w:div>
    <w:div w:id="378481633">
      <w:bodyDiv w:val="1"/>
      <w:marLeft w:val="0"/>
      <w:marRight w:val="0"/>
      <w:marTop w:val="0"/>
      <w:marBottom w:val="0"/>
      <w:divBdr>
        <w:top w:val="none" w:sz="0" w:space="0" w:color="auto"/>
        <w:left w:val="none" w:sz="0" w:space="0" w:color="auto"/>
        <w:bottom w:val="none" w:sz="0" w:space="0" w:color="auto"/>
        <w:right w:val="none" w:sz="0" w:space="0" w:color="auto"/>
      </w:divBdr>
    </w:div>
    <w:div w:id="1235552848">
      <w:bodyDiv w:val="1"/>
      <w:marLeft w:val="0"/>
      <w:marRight w:val="0"/>
      <w:marTop w:val="0"/>
      <w:marBottom w:val="0"/>
      <w:divBdr>
        <w:top w:val="none" w:sz="0" w:space="0" w:color="auto"/>
        <w:left w:val="none" w:sz="0" w:space="0" w:color="auto"/>
        <w:bottom w:val="none" w:sz="0" w:space="0" w:color="auto"/>
        <w:right w:val="none" w:sz="0" w:space="0" w:color="auto"/>
      </w:divBdr>
    </w:div>
    <w:div w:id="1236667693">
      <w:bodyDiv w:val="1"/>
      <w:marLeft w:val="0"/>
      <w:marRight w:val="0"/>
      <w:marTop w:val="0"/>
      <w:marBottom w:val="0"/>
      <w:divBdr>
        <w:top w:val="none" w:sz="0" w:space="0" w:color="auto"/>
        <w:left w:val="none" w:sz="0" w:space="0" w:color="auto"/>
        <w:bottom w:val="none" w:sz="0" w:space="0" w:color="auto"/>
        <w:right w:val="none" w:sz="0" w:space="0" w:color="auto"/>
      </w:divBdr>
    </w:div>
    <w:div w:id="1371219755">
      <w:bodyDiv w:val="1"/>
      <w:marLeft w:val="0"/>
      <w:marRight w:val="0"/>
      <w:marTop w:val="0"/>
      <w:marBottom w:val="0"/>
      <w:divBdr>
        <w:top w:val="none" w:sz="0" w:space="0" w:color="auto"/>
        <w:left w:val="none" w:sz="0" w:space="0" w:color="auto"/>
        <w:bottom w:val="none" w:sz="0" w:space="0" w:color="auto"/>
        <w:right w:val="none" w:sz="0" w:space="0" w:color="auto"/>
      </w:divBdr>
    </w:div>
    <w:div w:id="18093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ogden-tables-actuarial-compensation-tables-for-injury-and-deat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awtel.com/UK/FullText/AC0128777QB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BB037AAD042A4C9635D469A786B93F" ma:contentTypeVersion="13" ma:contentTypeDescription="Create a new document." ma:contentTypeScope="" ma:versionID="8b6b104e70a5c48f68c88f0f1deff386">
  <xsd:schema xmlns:xsd="http://www.w3.org/2001/XMLSchema" xmlns:xs="http://www.w3.org/2001/XMLSchema" xmlns:p="http://schemas.microsoft.com/office/2006/metadata/properties" xmlns:ns3="dbc7a270-015a-420d-83ca-2b70edefe342" xmlns:ns4="951f6ac3-ed7f-4f81-82d5-c5577da99fd2" targetNamespace="http://schemas.microsoft.com/office/2006/metadata/properties" ma:root="true" ma:fieldsID="cad8ec5fd44978adf2901c6324c10b9a" ns3:_="" ns4:_="">
    <xsd:import namespace="dbc7a270-015a-420d-83ca-2b70edefe342"/>
    <xsd:import namespace="951f6ac3-ed7f-4f81-82d5-c5577da99f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7a270-015a-420d-83ca-2b70edefe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f6ac3-ed7f-4f81-82d5-c5577da99f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E4EE16-783D-45F6-91C8-F8C7FE4D82E4}">
  <ds:schemaRefs>
    <ds:schemaRef ds:uri="http://schemas.openxmlformats.org/officeDocument/2006/bibliography"/>
  </ds:schemaRefs>
</ds:datastoreItem>
</file>

<file path=customXml/itemProps2.xml><?xml version="1.0" encoding="utf-8"?>
<ds:datastoreItem xmlns:ds="http://schemas.openxmlformats.org/officeDocument/2006/customXml" ds:itemID="{EF206779-9D74-4903-A808-805B9750CA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265CF5-1D6B-4976-A2D8-B8F1B7EB4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7a270-015a-420d-83ca-2b70edefe342"/>
    <ds:schemaRef ds:uri="951f6ac3-ed7f-4f81-82d5-c5577da99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47D5F-6D65-4DAD-9154-CBB086CEAB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Arnold</dc:creator>
  <cp:keywords/>
  <dc:description/>
  <cp:lastModifiedBy>Helena Drage</cp:lastModifiedBy>
  <cp:revision>2</cp:revision>
  <cp:lastPrinted>2020-04-16T15:53:00Z</cp:lastPrinted>
  <dcterms:created xsi:type="dcterms:W3CDTF">2020-07-28T16:13:00Z</dcterms:created>
  <dcterms:modified xsi:type="dcterms:W3CDTF">2020-07-28T16:13:00Z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0x010100B8BB037AAD042A4C9635D469A786B93F</vt:lpwstr>
  </property>
</Properties>
</file>